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Дополнительное соглашение №3 к Отраслевому соглашению по промышленности обычных вооружений, боеприпасов и спецхимии Российской федерации на 2014-2016 годы, продленному на 2017-2019 годы </w:t>
      </w:r>
    </w:p>
    <w:p>
      <w:pPr>
        <w:pStyle w:val="Heading2"/>
        <w:rPr/>
      </w:pPr>
      <w:r>
        <w:rPr/>
        <w:t>Соглашение подписано 10 октября 2017 года, зарегистрировано в Роструде 25 октября 2017 года, регистрационный номер 18/17-19</w:t>
      </w:r>
    </w:p>
    <w:p>
      <w:pPr>
        <w:pStyle w:val="TextBody"/>
        <w:rPr/>
      </w:pPr>
      <w:r>
        <w:rPr/>
      </w:r>
    </w:p>
    <w:p>
      <w:pPr>
        <w:pStyle w:val="TextBody"/>
        <w:rPr/>
      </w:pPr>
      <w:r>
        <w:rPr/>
        <w:t>Всероссийский профессиональный союз работников оборонной промышленности (далее – Оборонпроф), действующий на основании Устава, в лице Председателя профсоюза А.И.Чекменёва, федеральный орган исполнительной власти - Министерство промышленности и торговли Российской Федерации (далее - Минпромторг России), действующее на основании доверенности от 07.02.2017г. № МД-7419/16 , в лице заместителя Министра А.Н. Морозова и Общероссийское отраслевое объединение работодателей «Союз машиностроителей России», действующее на основании Устава, в лице Президента объединения работодателей С.В. Чемезова, (далее совместно именуемые Стороны), руководствуясь положениями статьи 49 Трудового кодекса Российской Федерации по взаимному согласию заключили настоящее Дополнительное соглашение к Отраслевому соглашению по промышленности обычных вооружений, боеприпасов и спецхимии Российской Федерации на 2014-2016 годы, продленному на 2017-2019 годы, (далее – Отраслевое соглашение) о нижеследующем:</w:t>
      </w:r>
    </w:p>
    <w:p>
      <w:pPr>
        <w:pStyle w:val="TextBody"/>
        <w:rPr/>
      </w:pPr>
      <w:r>
        <w:rPr/>
        <w:t>1. Исключить из Отраслевого соглашения приложение № 2 о составе отраслевой комиссии по регулированию социально-трудовых отношений.</w:t>
      </w:r>
    </w:p>
    <w:p>
      <w:pPr>
        <w:pStyle w:val="TextBody"/>
        <w:rPr/>
      </w:pPr>
      <w:r>
        <w:rPr/>
        <w:t>2. Внести в раздел 6 «Охрана труда и здоровья» Отраслевого соглашения дополнительный пункт 6.24.1. следующего содержания:</w:t>
      </w:r>
    </w:p>
    <w:p>
      <w:pPr>
        <w:pStyle w:val="TextBody"/>
        <w:rPr/>
      </w:pPr>
      <w:r>
        <w:rPr/>
        <w:t>«6.24.1. В случае, если по причинам сезонного и (или) технологического характера установленная продолжительность рабочего времени не может быть соблюдена в течение учетного периода продолжительностью три месяца в соответствии с частью второй статьи 104 Трудового кодекса Российской Федерации, коллективным договором может быть предусмотрено увеличение учетного периода (не более чем до одного года) для учета рабочего времени отдельных категорий работников, занятых на работах с вредными и (или) опасными условиями труда».</w:t>
      </w:r>
    </w:p>
    <w:p>
      <w:pPr>
        <w:pStyle w:val="TextBody"/>
        <w:rPr/>
      </w:pPr>
      <w:r>
        <w:rPr/>
        <w:t>3. Настоящее Дополнительное соглашение к Отраслевому соглашению вступает в силу с момента подписания его всеми Сторонами.</w:t>
      </w:r>
    </w:p>
    <w:p>
      <w:pPr>
        <w:pStyle w:val="TextBody"/>
        <w:rPr/>
      </w:pPr>
      <w:r>
        <w:rPr/>
        <w:t>4. В течение 5 (пять) дней с момента подписания настоящего Дополнительного соглашения всеми Сторонами Отраслевого соглашения Общероссийское отраслевое объединение работодателей «Союз машиностроителей России» в установленном порядке направляет его в уполномоченный федеральный орган исполнительной власти на уведомительную регистрацию.</w:t>
      </w:r>
    </w:p>
    <w:p>
      <w:pPr>
        <w:pStyle w:val="TextBody"/>
        <w:rPr/>
      </w:pPr>
      <w:r>
        <w:rPr/>
        <w:t>5. В течение 10 (десять) дней с момента уведомительной регистрации настоящего Дополнительного соглашения в уполномоченном федеральном органе исполнительной власти Стороны Отраслевого соглашения единовременно размещают текст настоящего Дополнительного соглашения на собственных интернет-сайтах.</w:t>
      </w:r>
    </w:p>
    <w:tbl>
      <w:tblPr>
        <w:tblW w:w="8553" w:type="dxa"/>
        <w:jc w:val="left"/>
        <w:tblInd w:w="28" w:type="dxa"/>
        <w:tblBorders/>
        <w:tblCellMar>
          <w:top w:w="28" w:type="dxa"/>
          <w:left w:w="28" w:type="dxa"/>
          <w:bottom w:w="28" w:type="dxa"/>
          <w:right w:w="28" w:type="dxa"/>
        </w:tblCellMar>
      </w:tblPr>
      <w:tblGrid>
        <w:gridCol w:w="2821"/>
        <w:gridCol w:w="3106"/>
        <w:gridCol w:w="2626"/>
      </w:tblGrid>
      <w:tr>
        <w:trPr/>
        <w:tc>
          <w:tcPr>
            <w:tcW w:w="2821" w:type="dxa"/>
            <w:tcBorders/>
            <w:shd w:fill="auto" w:val="clear"/>
            <w:vAlign w:val="center"/>
          </w:tcPr>
          <w:p>
            <w:pPr>
              <w:pStyle w:val="TableContents"/>
              <w:rPr/>
            </w:pPr>
            <w:r>
              <w:rPr/>
              <w:t xml:space="preserve">Председатель </w:t>
            </w:r>
          </w:p>
          <w:p>
            <w:pPr>
              <w:pStyle w:val="TableContents"/>
              <w:rPr/>
            </w:pPr>
            <w:r>
              <w:rPr/>
              <w:t>Всероссийского</w:t>
            </w:r>
          </w:p>
          <w:p>
            <w:pPr>
              <w:pStyle w:val="TableContents"/>
              <w:rPr/>
            </w:pPr>
            <w:r>
              <w:rPr/>
              <w:t>профессионального союза</w:t>
            </w:r>
          </w:p>
          <w:p>
            <w:pPr>
              <w:pStyle w:val="TableContents"/>
              <w:rPr/>
            </w:pPr>
            <w:r>
              <w:rPr/>
              <w:t>работников оборонной</w:t>
            </w:r>
          </w:p>
          <w:p>
            <w:pPr>
              <w:pStyle w:val="TableContents"/>
              <w:rPr/>
            </w:pPr>
            <w:r>
              <w:rPr/>
              <w:t xml:space="preserve">промышленности </w:t>
            </w:r>
          </w:p>
          <w:p>
            <w:pPr>
              <w:pStyle w:val="TableContents"/>
              <w:spacing w:before="0" w:after="283"/>
              <w:rPr/>
            </w:pPr>
            <w:r>
              <w:rPr/>
              <w:t>А.И. Чекменёв</w:t>
            </w:r>
          </w:p>
        </w:tc>
        <w:tc>
          <w:tcPr>
            <w:tcW w:w="3106" w:type="dxa"/>
            <w:tcBorders/>
            <w:shd w:fill="auto" w:val="clear"/>
            <w:vAlign w:val="center"/>
          </w:tcPr>
          <w:p>
            <w:pPr>
              <w:pStyle w:val="TableContents"/>
              <w:rPr/>
            </w:pPr>
            <w:r>
              <w:rPr/>
              <w:t>Президент Общероссийского</w:t>
            </w:r>
          </w:p>
          <w:p>
            <w:pPr>
              <w:pStyle w:val="TableContents"/>
              <w:rPr/>
            </w:pPr>
            <w:r>
              <w:rPr/>
              <w:t>отраслевого объединения</w:t>
            </w:r>
          </w:p>
          <w:p>
            <w:pPr>
              <w:pStyle w:val="TableContents"/>
              <w:rPr/>
            </w:pPr>
            <w:r>
              <w:rPr/>
              <w:t xml:space="preserve">работодателей «Союз </w:t>
            </w:r>
          </w:p>
          <w:p>
            <w:pPr>
              <w:pStyle w:val="TableContents"/>
              <w:rPr/>
            </w:pPr>
            <w:r>
              <w:rPr/>
              <w:t xml:space="preserve">машиностроителей России» </w:t>
            </w:r>
          </w:p>
          <w:p>
            <w:pPr>
              <w:pStyle w:val="TableContents"/>
              <w:spacing w:before="0" w:after="283"/>
              <w:rPr/>
            </w:pPr>
            <w:r>
              <w:rPr/>
              <w:t>С.В. Чемезов</w:t>
            </w:r>
          </w:p>
        </w:tc>
        <w:tc>
          <w:tcPr>
            <w:tcW w:w="2626" w:type="dxa"/>
            <w:tcBorders/>
            <w:shd w:fill="auto" w:val="clear"/>
            <w:vAlign w:val="center"/>
          </w:tcPr>
          <w:p>
            <w:pPr>
              <w:pStyle w:val="TableContents"/>
              <w:rPr/>
            </w:pPr>
            <w:r>
              <w:rPr/>
              <w:t>Заместитель Министра</w:t>
            </w:r>
          </w:p>
          <w:p>
            <w:pPr>
              <w:pStyle w:val="TableContents"/>
              <w:rPr/>
            </w:pPr>
            <w:r>
              <w:rPr/>
              <w:t xml:space="preserve">промышленности </w:t>
            </w:r>
          </w:p>
          <w:p>
            <w:pPr>
              <w:pStyle w:val="TableContents"/>
              <w:rPr/>
            </w:pPr>
            <w:r>
              <w:rPr/>
              <w:t xml:space="preserve">и торговли </w:t>
            </w:r>
          </w:p>
          <w:p>
            <w:pPr>
              <w:pStyle w:val="TableContents"/>
              <w:rPr/>
            </w:pPr>
            <w:r>
              <w:rPr/>
              <w:t xml:space="preserve">Российской Федерации </w:t>
            </w:r>
          </w:p>
          <w:p>
            <w:pPr>
              <w:pStyle w:val="TableContents"/>
              <w:spacing w:before="0" w:after="283"/>
              <w:rPr/>
            </w:pPr>
            <w:r>
              <w:rPr/>
              <w:t>А.Н. Морозов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