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План мероприятий по повышению эффективности госпрограммы «Доступная среда»</w:t>
      </w:r>
    </w:p>
    <w:p>
      <w:pPr>
        <w:pStyle w:val="Heading2"/>
        <w:rPr/>
      </w:pPr>
      <w:r>
        <w:rPr/>
        <w:t>План мероприятий («дорожная карта») по дополнительным мерам, направленным на повышение эффективности реализации мероприятий государственной программы Российской Федерации «Доступная среда» на 2011-2020 годы</w:t>
      </w:r>
    </w:p>
    <w:p>
      <w:pPr>
        <w:pStyle w:val="TextBody"/>
        <w:spacing w:before="0" w:after="283"/>
        <w:rPr/>
      </w:pPr>
      <w:r>
        <w:rPr/>
        <w:t xml:space="preserve">Во исполнение пункта 2 Протокола заседания Комиссии при Президенте Российской Федерации по делам инвалидов от 29.08.2017 № 17 Минтрудом России утвержден план мероприятий («дорожная карта») по дополнительным мерам, направленным на повышение эффективности реализации мероприятий государственной программы Российской Федерации «Доступная среда» на 2011-2020 годы.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