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46 от 01 февраля 2018 г.</w:t>
      </w:r>
    </w:p>
    <w:p>
      <w:pPr>
        <w:pStyle w:val="Heading2"/>
        <w:rPr/>
      </w:pPr>
      <w:r>
        <w:rPr/>
        <w:t>«Об утверждении методических рекомендаций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функций»</w:t>
      </w:r>
    </w:p>
    <w:p>
      <w:pPr>
        <w:pStyle w:val="TextBody"/>
        <w:rPr/>
      </w:pPr>
      <w:r>
        <w:rPr/>
        <w:t xml:space="preserve">В соответствии с подпунктом 5.2.56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и пунктом 9 приложения № 4 к государственной программе «Доступная среда» на 2011-2020 годы, утвержденной постановлением Правительства Российской Федерации от 1 декабря 2015 г. № 1297, п р и к а з ы в а ю: </w:t>
      </w:r>
    </w:p>
    <w:p>
      <w:pPr>
        <w:pStyle w:val="TextBody"/>
        <w:rPr/>
      </w:pPr>
      <w:r>
        <w:rPr/>
        <w:t xml:space="preserve">Утвердить методические рекомендации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функций, согласно приложению. 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