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Методические рекомендации по организации и проведению оценки квалификации государственных гражданских служащих в сфере проектной деятельности</w:t>
      </w:r>
    </w:p>
    <w:p>
      <w:pPr>
        <w:pStyle w:val="Heading2"/>
        <w:rPr/>
      </w:pPr>
      <w:r>
        <w:rPr/>
        <w:t>Методические рекомендации по организации и проведению оценки квалификации государственных гражданских служащих в сфере проектной деятельности</w:t>
      </w:r>
    </w:p>
    <w:p>
      <w:pPr>
        <w:pStyle w:val="TextBody"/>
        <w:rPr>
          <w:rStyle w:val="StrongEmphasis"/>
        </w:rPr>
      </w:pPr>
      <w:r>
        <w:rPr/>
      </w:r>
    </w:p>
    <w:p>
      <w:pPr>
        <w:pStyle w:val="TextBody"/>
        <w:rPr/>
      </w:pPr>
      <w:r>
        <w:rPr>
          <w:rStyle w:val="StrongEmphasis"/>
        </w:rPr>
        <w:t>Введение </w:t>
      </w:r>
      <w:r>
        <w:rPr/>
        <w:t xml:space="preserve"> </w:t>
      </w:r>
    </w:p>
    <w:p>
      <w:pPr>
        <w:pStyle w:val="TextBody"/>
        <w:rPr/>
      </w:pPr>
      <w:r>
        <w:rPr/>
        <w:t xml:space="preserve">Проектная деятельность, целью которой является проведение взаимосвязанных мероприятий, направленных на достижение уникальных результатов в условиях временных и ресурсных ограничений, активно развивается на государственной гражданской службе Российской Федерации (далее – гражданская служба). </w:t>
      </w:r>
    </w:p>
    <w:p>
      <w:pPr>
        <w:pStyle w:val="TextBody"/>
        <w:rPr/>
      </w:pPr>
      <w:r>
        <w:rPr/>
        <w:t xml:space="preserve">Положениями постановления Правительства Российской Федерации от 15 октября 2016 г. № 1050 «Об организации проектной деятельности в Правительстве Российской Федерации» (далее – постановление № 1050) предусмотрено, что для осуществления проектной деятельности государственному гражданскому служащему Российской Федерации (далее – гражданский служащий) необходимо соответствовать определенному уровню квалификации в зависимости от занимаемой роли в проекте. </w:t>
      </w:r>
    </w:p>
    <w:p>
      <w:pPr>
        <w:pStyle w:val="TextBody"/>
        <w:rPr/>
      </w:pPr>
      <w:r>
        <w:rPr/>
        <w:t xml:space="preserve">В соответствии с пунктом 24 Положения об организации проектной деятельности в Правительстве Российской Федерации, утвержденного постановлением № 1050, требования к уровню квалификации в сфере проектного управления старшего должностного лица проекта, руководителя проекта, руководителей рабочих органов проекта и участников проектов разрабатываются федеральным проектным офисом, функции которого осуществляет Департамент проектной деятельности Правительства Российской Федерации, и утверждаются президиумом Совета при Президенте Российской Федерации по стратегическому развитию и приоритетным проектам. </w:t>
      </w:r>
    </w:p>
    <w:p>
      <w:pPr>
        <w:pStyle w:val="TextBody"/>
        <w:rPr/>
      </w:pPr>
      <w:r>
        <w:rPr/>
        <w:t xml:space="preserve">Одновременно пунктом 4 постановления № 1050 установлено, что функции центра компетенций проектного управления, предусматривающие в том числе осуществление профильной подготовки кадров и проведение оценки компетенций в сфере проектного управления, осуществляет Научно-образовательный центр проектного менеджмента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(далее – центр компетенций проектного управления). </w:t>
      </w:r>
    </w:p>
    <w:p>
      <w:pPr>
        <w:pStyle w:val="TextBody"/>
        <w:rPr/>
      </w:pPr>
      <w:r>
        <w:rPr/>
        <w:t xml:space="preserve">Минтрудом России совместно с центром компетенций проектного управления подготовлены настоящие Методические рекомендации, содержащие подходы к организации проведения оценки квалификации, подтверждающей наличие у гражданских служащих – участников проектной деятельности необходимого для осуществления проектной деятельности уровня компетенций. </w:t>
      </w:r>
    </w:p>
    <w:p>
      <w:pPr>
        <w:pStyle w:val="TextBody"/>
        <w:rPr/>
      </w:pPr>
      <w:r>
        <w:rPr/>
        <w:t xml:space="preserve">Термины и понятия, применяемые в Методических рекомендациях, соответствуют терминам и понятиям, используемым в постановлении № 1050 и Методическом инструментарии по установлению квалификационных требований для замещения должностей государственной гражданской службы (Версия 3.2). </w:t>
      </w:r>
    </w:p>
    <w:p>
      <w:pPr>
        <w:pStyle w:val="TextBody"/>
        <w:rPr/>
      </w:pPr>
      <w:r>
        <w:rPr/>
        <w:t xml:space="preserve">Проведение оценки квалификации в соответствии с настоящими Методическими рекомендациями направлено на повышение эффективности и результативности осуществления проектной деятельности гражданскими служащими, а также расширение осведомленности гражданских служащих о современных методах управления. </w:t>
      </w:r>
    </w:p>
    <w:p>
      <w:pPr>
        <w:pStyle w:val="TextBody"/>
        <w:rPr/>
      </w:pPr>
      <w:r>
        <w:rPr>
          <w:rStyle w:val="StrongEmphasis"/>
        </w:rPr>
        <w:t>Глоссарий</w:t>
      </w:r>
      <w:r>
        <w:rPr/>
        <w:t xml:space="preserve">  </w:t>
      </w:r>
    </w:p>
    <w:p>
      <w:pPr>
        <w:pStyle w:val="TextBody"/>
        <w:rPr/>
      </w:pPr>
      <w:r>
        <w:rPr>
          <w:rStyle w:val="StrongEmphasis"/>
        </w:rPr>
        <w:t>Оценка квалификации</w:t>
      </w:r>
      <w:r>
        <w:rPr/>
        <w:t xml:space="preserve"> – процесс определения наличия у гражданского служащего компетенций, необходимых для осуществления проектной деятельности. </w:t>
      </w:r>
    </w:p>
    <w:p>
      <w:pPr>
        <w:pStyle w:val="TextBody"/>
        <w:rPr/>
      </w:pPr>
      <w:r>
        <w:rPr>
          <w:rStyle w:val="StrongEmphasis"/>
        </w:rPr>
        <w:t>Персональные и управленческие компетенции</w:t>
      </w:r>
      <w:r>
        <w:rPr/>
        <w:t xml:space="preserve"> – индивидуальные особенности личности, проявляемые в поведении гражданского служащего – участника проектной деятельности и отражающие жизненные ценности, а также знания и умения, которые необходимы для эффективного и результативного осуществления проектной деятельности. </w:t>
      </w:r>
    </w:p>
    <w:p>
      <w:pPr>
        <w:pStyle w:val="TextBody"/>
        <w:rPr/>
      </w:pPr>
      <w:r>
        <w:rPr>
          <w:rStyle w:val="StrongEmphasis"/>
        </w:rPr>
        <w:t xml:space="preserve">Прикладные компетенции </w:t>
      </w:r>
      <w:r>
        <w:rPr/>
        <w:t xml:space="preserve">– проявляемые в поведении характеристики, отражающие знания и умения гражданских служащих – участников проектной деятельности, необходимые для эффективного и результативного осуществления проектной деятельности в соответствии с выполняемой ролью в проекте. </w:t>
      </w:r>
    </w:p>
    <w:p>
      <w:pPr>
        <w:pStyle w:val="TextBody"/>
        <w:rPr/>
      </w:pPr>
      <w:r>
        <w:rPr>
          <w:rStyle w:val="StrongEmphasis"/>
        </w:rPr>
        <w:t xml:space="preserve">Проведение оценки квалификации государственных гражданских служащих - участников проектной деятельности  </w:t>
      </w:r>
    </w:p>
    <w:p>
      <w:pPr>
        <w:pStyle w:val="TextBody"/>
        <w:rPr/>
      </w:pPr>
      <w:r>
        <w:rPr/>
        <w:t xml:space="preserve">Процедура оценки квалификации осуществляется для гражданских служащих – участников проектной деятельности, которые исполняют следующие роли в проектах: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Старшее должностное лицо проекта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Руководитель проекта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Руководитель рабочего органа проекта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Администратор проекта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Руководитель проектного офиса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Сотрудник проектного офиса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Участник проекта </w:t>
      </w:r>
    </w:p>
    <w:p>
      <w:pPr>
        <w:pStyle w:val="TextBody"/>
        <w:rPr/>
      </w:pPr>
      <w:r>
        <w:rPr/>
        <w:t xml:space="preserve">Для прохождения процедуры оценки квалификации представитель нанимателя государственного органа предоставляет в центр компетенций проектного управления заявку в соответствии с установленной формой, представленной в Приложении 1, в бумажном или электронном виде. </w:t>
      </w:r>
    </w:p>
    <w:p>
      <w:pPr>
        <w:pStyle w:val="TextBody"/>
        <w:rPr/>
      </w:pPr>
      <w:r>
        <w:rPr/>
        <w:t xml:space="preserve">Процедура оценки квалификации гражданских служащих-участников проектной деятельности осуществляется в форме экзамена. </w:t>
      </w:r>
    </w:p>
    <w:p>
      <w:pPr>
        <w:pStyle w:val="TextBody"/>
        <w:rPr/>
      </w:pPr>
      <w:r>
        <w:rPr/>
        <w:t xml:space="preserve">Решение о дате, месте и времени проведения экзамена, заключающегося в прохождении очного теста и самооценки, принимается не позднее 10 рабочих дней со дня получения заявки. </w:t>
      </w:r>
    </w:p>
    <w:p>
      <w:pPr>
        <w:pStyle w:val="TextBody"/>
        <w:rPr/>
      </w:pPr>
      <w:r>
        <w:rPr/>
        <w:t xml:space="preserve">Центром компетенции проектного управления для проведения экзамена утверждается экспертная комиссия центра компетенций проектного управления (далее – Комиссия), в состав которой должно входит не менее трех человек, включая председателя и членов Комиссии. </w:t>
      </w:r>
    </w:p>
    <w:p>
      <w:pPr>
        <w:pStyle w:val="TextBody"/>
        <w:rPr/>
      </w:pPr>
      <w:r>
        <w:rPr/>
        <w:t xml:space="preserve">Приказ о проведении экзамена и назначении председателя и членов Комиссии издается центром компетенций проектного управления. </w:t>
      </w:r>
    </w:p>
    <w:p>
      <w:pPr>
        <w:pStyle w:val="TextBody"/>
        <w:rPr/>
      </w:pPr>
      <w:r>
        <w:rPr/>
        <w:t xml:space="preserve">Порядок проведения экзамена определяет центр компетенции проектного управления в соответствии с требованиями, предъявляемыми к участникам проектной деятельности в части персональных и управленческих, а также прикладных компетенций. </w:t>
      </w:r>
    </w:p>
    <w:p>
      <w:pPr>
        <w:pStyle w:val="TextBody"/>
        <w:rPr/>
      </w:pPr>
      <w:r>
        <w:rPr/>
        <w:t xml:space="preserve">Решение, принятое в результате проведения экзамена, оформляется центром компетенции проектного управления протоколом. </w:t>
      </w:r>
    </w:p>
    <w:p>
      <w:pPr>
        <w:pStyle w:val="TextBody"/>
        <w:rPr/>
      </w:pPr>
      <w:r>
        <w:rPr/>
        <w:t xml:space="preserve">По результатам проведения экзамена при положительном решении о соответствии гражданского служащего установленным требованиям центр компетенций проектного управления оформляет бессрочный сертификат, регистрирует его в установленном порядке и включает информацию в единый реестр участников проектной деятельности, прошедших процедуру оценки квалификации. </w:t>
      </w:r>
    </w:p>
    <w:p>
      <w:pPr>
        <w:pStyle w:val="TextBody"/>
        <w:rPr/>
      </w:pPr>
      <w:r>
        <w:rPr>
          <w:rStyle w:val="StrongEmphasis"/>
        </w:rPr>
        <w:t>Требования к компетенциям государственных гражданских служащих - участников проектной деятельности</w:t>
      </w:r>
    </w:p>
    <w:p>
      <w:pPr>
        <w:pStyle w:val="TextBody"/>
        <w:rPr/>
      </w:pPr>
      <w:r>
        <w:rPr/>
        <w:t>Требования к компетенциям гражданских служащих - участников проектной деятельности включают: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Требования к персональным и управленческим компетенциям.</w:t>
      </w:r>
    </w:p>
    <w:p>
      <w:pPr>
        <w:pStyle w:val="TextBody"/>
        <w:rPr/>
      </w:pPr>
      <w:r>
        <w:rPr/>
        <w:t>Персональные и управленческие компетенции представлены в таблице 1.</w:t>
      </w:r>
    </w:p>
    <w:p>
      <w:pPr>
        <w:pStyle w:val="TextBody"/>
        <w:rPr/>
      </w:pPr>
      <w:r>
        <w:rPr/>
        <w:t xml:space="preserve">Таблица 1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98"/>
        <w:gridCol w:w="7107"/>
      </w:tblGrid>
      <w:tr>
        <w:trPr>
          <w:tblHeader w:val="true"/>
        </w:trPr>
        <w:tc>
          <w:tcPr>
            <w:tcW w:w="309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Персональные и управленческие компетенции</w:t>
            </w:r>
            <w:r>
              <w:rPr/>
              <w:t xml:space="preserve"> </w:t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Характеристики компетенций</w:t>
            </w:r>
            <w:r>
              <w:rPr/>
              <w:t xml:space="preserve"> </w:t>
            </w:r>
          </w:p>
        </w:tc>
      </w:tr>
      <w:tr>
        <w:trPr/>
        <w:tc>
          <w:tcPr>
            <w:tcW w:w="309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Лидерство</w:t>
            </w:r>
            <w:r>
              <w:rPr/>
              <w:t xml:space="preserve"> </w:t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видеть перспективу, образ будущего, понимать цели и доносить их до других </w:t>
            </w:r>
          </w:p>
        </w:tc>
      </w:tr>
      <w:tr>
        <w:trPr/>
        <w:tc>
          <w:tcPr>
            <w:tcW w:w="309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убеждать, мотивировать, вдохновлять личным примером и вести за собой </w:t>
            </w:r>
          </w:p>
        </w:tc>
      </w:tr>
      <w:tr>
        <w:trPr/>
        <w:tc>
          <w:tcPr>
            <w:tcW w:w="309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оказать поддержку единомышленникам и создать условия для самореализации последователей </w:t>
            </w:r>
          </w:p>
        </w:tc>
      </w:tr>
      <w:tr>
        <w:trPr/>
        <w:tc>
          <w:tcPr>
            <w:tcW w:w="309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Стратегическое мышление</w:t>
            </w:r>
            <w:r>
              <w:rPr/>
              <w:t xml:space="preserve"> </w:t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целостно видеть ситуацию, прогнозировать развитие событий </w:t>
            </w:r>
          </w:p>
        </w:tc>
      </w:tr>
      <w:tr>
        <w:trPr/>
        <w:tc>
          <w:tcPr>
            <w:tcW w:w="309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выявлять и обосновывать стратегические приоритеты  </w:t>
            </w:r>
          </w:p>
        </w:tc>
      </w:tr>
      <w:tr>
        <w:trPr/>
        <w:tc>
          <w:tcPr>
            <w:tcW w:w="309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видеть риски и новые возможности </w:t>
            </w:r>
          </w:p>
        </w:tc>
      </w:tr>
      <w:tr>
        <w:trPr/>
        <w:tc>
          <w:tcPr>
            <w:tcW w:w="309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Принятие управленческих решений</w:t>
            </w:r>
            <w:r>
              <w:rPr/>
              <w:t xml:space="preserve"> </w:t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находить альтернативные пути решения проблемы и определять оптимальные   </w:t>
            </w:r>
          </w:p>
        </w:tc>
      </w:tr>
      <w:tr>
        <w:trPr/>
        <w:tc>
          <w:tcPr>
            <w:tcW w:w="309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оценивать влияние или последствия решений, прежде чем их принять </w:t>
            </w:r>
          </w:p>
        </w:tc>
      </w:tr>
      <w:tr>
        <w:trPr/>
        <w:tc>
          <w:tcPr>
            <w:tcW w:w="309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оперативно принимать решения на своем уровне ответственности, соблюдая установленные процедуры  </w:t>
            </w:r>
          </w:p>
        </w:tc>
      </w:tr>
      <w:tr>
        <w:trPr/>
        <w:tc>
          <w:tcPr>
            <w:tcW w:w="309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Персональная эффективность</w:t>
            </w:r>
            <w:r>
              <w:rPr/>
              <w:t xml:space="preserve"> </w:t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нести ответственность за свои действия независимо от условий и обстоятельств </w:t>
            </w:r>
          </w:p>
        </w:tc>
      </w:tr>
      <w:tr>
        <w:trPr/>
        <w:tc>
          <w:tcPr>
            <w:tcW w:w="309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планировать свою работу с ориентацией на конечный результат </w:t>
            </w:r>
          </w:p>
        </w:tc>
      </w:tr>
      <w:tr>
        <w:trPr/>
        <w:tc>
          <w:tcPr>
            <w:tcW w:w="309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определять и расставлять приоритеты в своей деятельности </w:t>
            </w:r>
          </w:p>
        </w:tc>
      </w:tr>
      <w:tr>
        <w:trPr/>
        <w:tc>
          <w:tcPr>
            <w:tcW w:w="309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Командное взаимодействие</w:t>
            </w:r>
            <w:r>
              <w:rPr/>
              <w:t xml:space="preserve"> </w:t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устанавливать и поддерживать долгосрочные партнерские отношения </w:t>
            </w:r>
          </w:p>
        </w:tc>
      </w:tr>
      <w:tr>
        <w:trPr/>
        <w:tc>
          <w:tcPr>
            <w:tcW w:w="309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слушать, понимать другого, излагать мысли и факты ясным и доходчивым способом   </w:t>
            </w:r>
          </w:p>
        </w:tc>
      </w:tr>
      <w:tr>
        <w:trPr/>
        <w:tc>
          <w:tcPr>
            <w:tcW w:w="309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эффективно разрешать негативные эмоциональные ситуации, устранять разногласия, делить ответственность за успехи и неудачи команды </w:t>
            </w:r>
          </w:p>
        </w:tc>
      </w:tr>
      <w:tr>
        <w:trPr/>
        <w:tc>
          <w:tcPr>
            <w:tcW w:w="309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Гибкость и готовность к изменениям</w:t>
            </w:r>
            <w:r>
              <w:rPr/>
              <w:t xml:space="preserve"> </w:t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адаптировать традиционные и разрабатывать новые подходы, концепции, методы, процессы, технологии, системы и пр. </w:t>
            </w:r>
          </w:p>
        </w:tc>
      </w:tr>
      <w:tr>
        <w:trPr/>
        <w:tc>
          <w:tcPr>
            <w:tcW w:w="309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инициировать либо с готовностью и бесконфликтно воспринимать изменения </w:t>
            </w:r>
          </w:p>
        </w:tc>
      </w:tr>
      <w:tr>
        <w:trPr/>
        <w:tc>
          <w:tcPr>
            <w:tcW w:w="309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Умение учиться у людей и ситуаций, постоянно расширять собственный опыт, совершенствовать свои способности </w:t>
            </w:r>
          </w:p>
        </w:tc>
      </w:tr>
    </w:tbl>
    <w:p>
      <w:pPr>
        <w:pStyle w:val="TextBody"/>
        <w:rPr/>
      </w:pPr>
      <w:r>
        <w:rPr/>
        <w:br/>
        <w:t>Оценка соответствия гражданских служащих требованиям к персональным и управленческим компетенциям проводится посредством самооценки (до 1 апреля 2018 г.) в соответствии с перечнем и характеристиками персональных и управленческих компетенций участников проектной деятельности, которые определяются центром компетенций проектного управления.</w:t>
      </w:r>
    </w:p>
    <w:p>
      <w:pPr>
        <w:pStyle w:val="TextBody"/>
        <w:rPr/>
      </w:pPr>
      <w:r>
        <w:rPr/>
        <w:t xml:space="preserve">Бланк оценки персональных и управленческих компетенций участников проектной деятельности представлен в Приложении № 2. </w:t>
      </w:r>
    </w:p>
    <w:p>
      <w:pPr>
        <w:pStyle w:val="TextBody"/>
        <w:rPr/>
      </w:pPr>
      <w:r>
        <w:rPr/>
        <w:t>Степень выраженности компетенций измеряется в баллах по 4-х уровневой шкале в соответствии с уровнем умений и степенью проявления поведенческих индикаторов гражданских служащих - участников проектной деятельности согласно данным, указанным в таблице 2.</w:t>
      </w:r>
    </w:p>
    <w:p>
      <w:pPr>
        <w:pStyle w:val="TextBody"/>
        <w:rPr/>
      </w:pPr>
      <w:r>
        <w:rPr/>
        <w:t>Таблица 2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48"/>
        <w:gridCol w:w="3180"/>
        <w:gridCol w:w="2827"/>
        <w:gridCol w:w="1550"/>
      </w:tblGrid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Степень выраженности компетенции</w:t>
            </w:r>
            <w:r>
              <w:rPr/>
              <w:t xml:space="preserve"> </w:t>
            </w:r>
          </w:p>
        </w:tc>
        <w:tc>
          <w:tcPr>
            <w:tcW w:w="31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Уровень умений</w:t>
            </w:r>
            <w:r>
              <w:rPr/>
              <w:t xml:space="preserve"> 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Степень проявления поведенческих индикаторов</w:t>
            </w:r>
            <w:r>
              <w:rPr/>
              <w:t xml:space="preserve"> 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Количество баллов</w:t>
            </w:r>
            <w:r>
              <w:rPr/>
              <w:t xml:space="preserve"> 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Экспертный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уровень «Могу научить» </w:t>
            </w:r>
          </w:p>
        </w:tc>
        <w:tc>
          <w:tcPr>
            <w:tcW w:w="31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Глубокие знания в данной области и большой опыт применения знаний и умений на практике 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 поведенческие индикаторы проявляются всегда, когда это необходимо, и в полном объеме 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Квалифицированный уровень «Применяю» </w:t>
            </w:r>
          </w:p>
        </w:tc>
        <w:tc>
          <w:tcPr>
            <w:tcW w:w="31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Уверенное знание в данной области, демонстрация умений в работе 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Проявляется больше половины поведенческих индикаторов 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Базовый уровень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«Понимаю» </w:t>
            </w:r>
          </w:p>
        </w:tc>
        <w:tc>
          <w:tcPr>
            <w:tcW w:w="31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Базовые знания в данной области и ограниченные умения применения этих знаний на практике 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Проявляется меньше половины поведенческих индикаторов 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Нулевой уровень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«Не применяю» </w:t>
            </w:r>
          </w:p>
        </w:tc>
        <w:tc>
          <w:tcPr>
            <w:tcW w:w="31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Гражданский служащий не применяет данную компетенцию в профессиональной деятельности 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Поведенческие индикаторы не проявляются или проявляются редко 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</w:tr>
    </w:tbl>
    <w:p>
      <w:pPr>
        <w:pStyle w:val="TextBody"/>
        <w:rPr/>
      </w:pPr>
      <w:r>
        <w:rPr/>
        <w:br/>
        <w:t>Минимальные баллы выраженности персональных и управленческих компетенций для оцениваемых ролей гражданских служащих - участников проектной деятельности должны соответствовать указанным в таблице 3.</w:t>
      </w:r>
    </w:p>
    <w:p>
      <w:pPr>
        <w:pStyle w:val="TextBody"/>
        <w:rPr/>
      </w:pPr>
      <w:r>
        <w:rPr/>
        <w:t>Таблица 3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12"/>
        <w:gridCol w:w="1583"/>
        <w:gridCol w:w="1686"/>
        <w:gridCol w:w="1710"/>
        <w:gridCol w:w="1864"/>
        <w:gridCol w:w="1250"/>
      </w:tblGrid>
      <w:tr>
        <w:trPr/>
        <w:tc>
          <w:tcPr>
            <w:tcW w:w="2112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 xml:space="preserve">Персональные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и управленческие компетенции</w:t>
            </w:r>
            <w:r>
              <w:rPr/>
              <w:t xml:space="preserve"> </w:t>
            </w:r>
          </w:p>
        </w:tc>
        <w:tc>
          <w:tcPr>
            <w:tcW w:w="8093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Минимальный балл выраженности</w:t>
            </w:r>
            <w:r>
              <w:rPr/>
              <w:t xml:space="preserve">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  </w:t>
            </w:r>
          </w:p>
        </w:tc>
      </w:tr>
      <w:tr>
        <w:trPr/>
        <w:tc>
          <w:tcPr>
            <w:tcW w:w="2112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Старшее должностное лицо проекта</w:t>
            </w:r>
            <w:r>
              <w:rPr/>
              <w:t xml:space="preserve"> </w:t>
            </w:r>
          </w:p>
        </w:tc>
        <w:tc>
          <w:tcPr>
            <w:tcW w:w="168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Руководитель проекта,</w:t>
            </w:r>
            <w:r>
              <w:rPr/>
              <w:t xml:space="preserve">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руководитель проектного офиса</w:t>
            </w:r>
            <w:r>
              <w:rPr/>
              <w:t xml:space="preserve"> </w:t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Руководитель рабочего органа проекта</w:t>
            </w:r>
            <w:r>
              <w:rPr/>
              <w:t xml:space="preserve"> </w:t>
            </w:r>
          </w:p>
        </w:tc>
        <w:tc>
          <w:tcPr>
            <w:tcW w:w="186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Администратор проекта,</w:t>
            </w:r>
            <w:r>
              <w:rPr/>
              <w:t xml:space="preserve">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проектного офиса</w:t>
            </w:r>
            <w:r>
              <w:rPr/>
              <w:t xml:space="preserve"> 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Участник проекта</w:t>
            </w:r>
            <w:r>
              <w:rPr/>
              <w:t xml:space="preserve">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Лидерство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  <w:tc>
          <w:tcPr>
            <w:tcW w:w="16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8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Стратегическое мышление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6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18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Принятие управленческих решений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  <w:tc>
          <w:tcPr>
            <w:tcW w:w="16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8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Персональная эффективность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6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8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Командное взаимодействие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6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8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Гибкость </w:t>
            </w:r>
          </w:p>
          <w:p>
            <w:pPr>
              <w:pStyle w:val="TableContents"/>
              <w:rPr/>
            </w:pPr>
            <w:r>
              <w:rPr/>
              <w:t xml:space="preserve">и готовность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к изменениям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6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8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ИТОГО</w:t>
            </w:r>
            <w:r>
              <w:rPr/>
              <w:t xml:space="preserve">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минимальный балл из 18 возможных:</w:t>
            </w:r>
            <w:r>
              <w:rPr/>
              <w:t xml:space="preserve">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14 </w:t>
            </w:r>
            <w:r>
              <w:rPr/>
              <w:t xml:space="preserve"> </w:t>
            </w:r>
          </w:p>
        </w:tc>
        <w:tc>
          <w:tcPr>
            <w:tcW w:w="16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13 </w:t>
            </w:r>
            <w:r>
              <w:rPr/>
              <w:t xml:space="preserve"> </w:t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11</w:t>
            </w:r>
            <w:r>
              <w:rPr/>
              <w:t xml:space="preserve"> </w:t>
            </w:r>
          </w:p>
        </w:tc>
        <w:tc>
          <w:tcPr>
            <w:tcW w:w="18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10</w:t>
            </w:r>
            <w:r>
              <w:rPr/>
              <w:t xml:space="preserve"> 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8</w:t>
            </w:r>
            <w:r>
              <w:rPr/>
              <w:t xml:space="preserve"> </w:t>
            </w:r>
          </w:p>
        </w:tc>
      </w:tr>
    </w:tbl>
    <w:p>
      <w:pPr>
        <w:pStyle w:val="TextBody"/>
        <w:rPr/>
      </w:pPr>
      <w:r>
        <w:rPr/>
        <w:t>Количество набранных баллов самооценки персональных и управленческих компетенций участников проектной деятельности для каждой оцениваемой роли должно быть не ниже значений, указанных в таблице 3 настоящих рекомендаций.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 xml:space="preserve">Требования к прикладным компетенциям. </w:t>
      </w:r>
    </w:p>
    <w:p>
      <w:pPr>
        <w:pStyle w:val="TextBody"/>
        <w:rPr/>
      </w:pPr>
      <w:r>
        <w:rPr/>
        <w:t xml:space="preserve">К прикладным компетенциям относятся компетенции, представленные в таблице 4. </w:t>
      </w:r>
    </w:p>
    <w:p>
      <w:pPr>
        <w:pStyle w:val="TextBody"/>
        <w:rPr/>
      </w:pPr>
      <w:r>
        <w:rPr/>
        <w:t>Таблица 4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56"/>
        <w:gridCol w:w="6949"/>
      </w:tblGrid>
      <w:tr>
        <w:trPr/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Прикладные компетенции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Характеристики компетенций </w:t>
            </w:r>
          </w:p>
        </w:tc>
      </w:tr>
      <w:tr>
        <w:trPr/>
        <w:tc>
          <w:tcPr>
            <w:tcW w:w="325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Организация проекта, управление заинтересованными сторонами проекта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формировать организационную структуру проекта, закреплять функционал и ответственность в проектной команде, а также организовывать обучение и развития команды проекта </w:t>
            </w:r>
          </w:p>
        </w:tc>
      </w:tr>
      <w:tr>
        <w:trPr/>
        <w:tc>
          <w:tcPr>
            <w:tcW w:w="325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проводить анализ ожиданий заинтересованных сторон и их воздействия на проект, разрабатывать соответствующие стратегии управления для эффективного вовлечения заинтересованных сторон в принятие решений и реализацию проекта </w:t>
            </w:r>
          </w:p>
        </w:tc>
      </w:tr>
      <w:tr>
        <w:trPr/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Управление выгодами проекта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определять желаемое состояние, на которое нацелена реализация проекта, выгоды и их описание, связь с показателями и целями; формировать стратегию по достижению и управлению выгодами, определять ответственных и владельцев, связанных с получением и управлением выгодами </w:t>
            </w:r>
          </w:p>
        </w:tc>
      </w:tr>
      <w:tr>
        <w:trPr/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Управление содержанием проекта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определить создаваемые результаты, выполняемые мероприятия, границы проекта и обеспечить действия по контролю содержания и передачи результатов заказчику </w:t>
            </w:r>
          </w:p>
        </w:tc>
      </w:tr>
      <w:tr>
        <w:trPr/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Управление сроками проекта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планировать достижение результатов, выгод, определять длительность и сроки реализации мероприятий проекта, а также допущения, которые влияют на сроки планирования </w:t>
            </w:r>
          </w:p>
        </w:tc>
      </w:tr>
      <w:tr>
        <w:trPr/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Управление финансами проекта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проводить оценку экономической эффективности проекта, определять затраты и формировать бюджет проекта, источники его финансирования </w:t>
            </w:r>
          </w:p>
        </w:tc>
      </w:tr>
      <w:tr>
        <w:trPr/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Планирование и контроль проекта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формировать планы проекта, организовывать и проводить мониторинг и контроль реализации проекта, управлять отклонениями в проекте </w:t>
            </w:r>
          </w:p>
        </w:tc>
      </w:tr>
      <w:tr>
        <w:trPr/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 xml:space="preserve">Управление изменениями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в проекте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применять инструменты инициирования, формирования, согласования и контроля изменения в проекте </w:t>
            </w:r>
          </w:p>
        </w:tc>
      </w:tr>
      <w:tr>
        <w:trPr/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Управление рисками и возможностями проекта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применять инструменты и методы идентификации, оценки, реагирования, мониторинга и контроля рисков и возможностей проекта </w:t>
            </w:r>
          </w:p>
        </w:tc>
      </w:tr>
      <w:tr>
        <w:trPr/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Управление ресурсами проекта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определять потребности проекта в ресурсах, обеспечивать и управлять человеческими и материальными ресурсами проекта </w:t>
            </w:r>
          </w:p>
        </w:tc>
      </w:tr>
      <w:tr>
        <w:trPr/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Управление коммуникациями и знаниями проекта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создавать коммуникационные схемы для обеспечения эффективного взаимодействия всех участников проекта, управлять информацией, извлеченными уроками; формировать и использовать базы знаний </w:t>
            </w:r>
          </w:p>
        </w:tc>
      </w:tr>
      <w:tr>
        <w:trPr/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Управление качеством проекта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обеспечивать и подтверждать соответствие требованиям проекту, включая требования к результатам проекта </w:t>
            </w:r>
          </w:p>
        </w:tc>
      </w:tr>
      <w:tr>
        <w:trPr/>
        <w:tc>
          <w:tcPr>
            <w:tcW w:w="325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 xml:space="preserve">Управление закупками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и поставками проекта</w:t>
            </w:r>
            <w:r>
              <w:rPr/>
              <w:t xml:space="preserve"> </w:t>
            </w:r>
          </w:p>
        </w:tc>
        <w:tc>
          <w:tcPr>
            <w:tcW w:w="69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Знание и умение организовывать закупочные и конкурсные процедуры, эффективное взаимодействие с подрядчиками </w:t>
            </w:r>
          </w:p>
        </w:tc>
      </w:tr>
    </w:tbl>
    <w:p>
      <w:pPr>
        <w:pStyle w:val="TextBody"/>
        <w:rPr/>
      </w:pPr>
      <w:r>
        <w:rPr/>
        <w:br/>
        <w:t>Оценка соответствия гражданских служащих требованиям к прикладным компетенциям проводится в соответствии с перечнем и характеристиками прикладных компетенций участников проектной деятельности, которые определяются центром компетенций проектного управления.</w:t>
      </w:r>
    </w:p>
    <w:p>
      <w:pPr>
        <w:pStyle w:val="TextBody"/>
        <w:rPr/>
      </w:pPr>
      <w:r>
        <w:rPr/>
        <w:t xml:space="preserve">Проведение оценки прикладных компетенций участников проектной деятельности осуществляется посредством тестирования. </w:t>
      </w:r>
    </w:p>
    <w:p>
      <w:pPr>
        <w:pStyle w:val="TextBody"/>
        <w:rPr/>
      </w:pPr>
      <w:r>
        <w:rPr/>
        <w:t>Описание минимального количества тестовых вопросов с указанием уровня сложности представлено в таблице 5.</w:t>
      </w:r>
    </w:p>
    <w:p>
      <w:pPr>
        <w:pStyle w:val="TextBody"/>
        <w:rPr/>
      </w:pPr>
      <w:r>
        <w:rPr/>
        <w:t>Таблица 5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86"/>
        <w:gridCol w:w="2453"/>
        <w:gridCol w:w="2923"/>
        <w:gridCol w:w="2387"/>
        <w:gridCol w:w="156"/>
      </w:tblGrid>
      <w:tr>
        <w:trPr/>
        <w:tc>
          <w:tcPr>
            <w:tcW w:w="228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Роль</w:t>
            </w:r>
            <w:r>
              <w:rPr/>
              <w:t xml:space="preserve">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в проекте </w:t>
            </w:r>
          </w:p>
        </w:tc>
        <w:tc>
          <w:tcPr>
            <w:tcW w:w="2453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Требования к прикладным компетенциям</w:t>
            </w:r>
            <w:r>
              <w:rPr/>
              <w:t xml:space="preserve"> </w:t>
            </w:r>
          </w:p>
        </w:tc>
        <w:tc>
          <w:tcPr>
            <w:tcW w:w="5466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Требования к содержанию оценки</w:t>
            </w:r>
            <w:r>
              <w:rPr/>
              <w:t xml:space="preserve"> </w:t>
            </w:r>
          </w:p>
        </w:tc>
      </w:tr>
      <w:tr>
        <w:trPr/>
        <w:tc>
          <w:tcPr>
            <w:tcW w:w="228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5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Характеристика содержания</w:t>
            </w:r>
            <w:r>
              <w:rPr/>
              <w:t xml:space="preserve"> 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Количество вопросов разного уровня сложности</w:t>
            </w:r>
            <w:r>
              <w:rPr/>
              <w:t xml:space="preserve"> </w:t>
            </w:r>
          </w:p>
        </w:tc>
        <w:tc>
          <w:tcPr>
            <w:tcW w:w="156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Старшее должностное лицо проекта </w:t>
            </w:r>
          </w:p>
        </w:tc>
        <w:tc>
          <w:tcPr>
            <w:tcW w:w="24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Базовый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уровень </w:t>
            </w:r>
          </w:p>
        </w:tc>
        <w:tc>
          <w:tcPr>
            <w:tcW w:w="292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Успешное прохождение теста за 1 астрономический час </w:t>
            </w:r>
          </w:p>
          <w:p>
            <w:pPr>
              <w:pStyle w:val="TableContents"/>
              <w:rPr/>
            </w:pPr>
            <w:r>
              <w:rPr/>
              <w:t xml:space="preserve">(50 тестовых заданий)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 не менее 65% правильных ответов 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Высокий уровень сложности – 10 </w:t>
            </w:r>
          </w:p>
          <w:p>
            <w:pPr>
              <w:pStyle w:val="TableContents"/>
              <w:rPr/>
            </w:pPr>
            <w:r>
              <w:rPr/>
              <w:t xml:space="preserve">Средний уровень сложности – 20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Низкий уровень сложности – 20 </w:t>
            </w:r>
          </w:p>
        </w:tc>
        <w:tc>
          <w:tcPr>
            <w:tcW w:w="156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8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Руководитель проекта,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проектного офиса </w:t>
            </w:r>
          </w:p>
        </w:tc>
        <w:tc>
          <w:tcPr>
            <w:tcW w:w="24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Углубленный уровень </w:t>
            </w:r>
          </w:p>
        </w:tc>
        <w:tc>
          <w:tcPr>
            <w:tcW w:w="292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Успешное прохождение теста за 1 астрономический час </w:t>
            </w:r>
          </w:p>
          <w:p>
            <w:pPr>
              <w:pStyle w:val="TableContents"/>
              <w:rPr/>
            </w:pPr>
            <w:r>
              <w:rPr/>
              <w:t xml:space="preserve">(50 тестовых заданий)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 не менее 65% правильных ответов 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Высокий уровень сложности – 10 </w:t>
            </w:r>
          </w:p>
          <w:p>
            <w:pPr>
              <w:pStyle w:val="TableContents"/>
              <w:rPr/>
            </w:pPr>
            <w:r>
              <w:rPr/>
              <w:t xml:space="preserve">Средний уровень сложности – 20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Низкий уровень сложности – 20 </w:t>
            </w:r>
          </w:p>
        </w:tc>
        <w:tc>
          <w:tcPr>
            <w:tcW w:w="156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8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Руководитель рабочего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органа проекта </w:t>
            </w:r>
          </w:p>
        </w:tc>
        <w:tc>
          <w:tcPr>
            <w:tcW w:w="24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Углубленный уровень </w:t>
            </w:r>
          </w:p>
        </w:tc>
        <w:tc>
          <w:tcPr>
            <w:tcW w:w="292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Успешное прохождение теста за 1 астрономический час </w:t>
            </w:r>
          </w:p>
          <w:p>
            <w:pPr>
              <w:pStyle w:val="TableContents"/>
              <w:rPr/>
            </w:pPr>
            <w:r>
              <w:rPr/>
              <w:t xml:space="preserve">(50 тестовых заданий)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 не менее 65% правильных ответов 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Высокий уровень сложности – 10 </w:t>
            </w:r>
          </w:p>
          <w:p>
            <w:pPr>
              <w:pStyle w:val="TableContents"/>
              <w:rPr/>
            </w:pPr>
            <w:r>
              <w:rPr/>
              <w:t xml:space="preserve">Средний уровень сложности – 20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Низкий уровень сложности – 20 </w:t>
            </w:r>
          </w:p>
        </w:tc>
        <w:tc>
          <w:tcPr>
            <w:tcW w:w="156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8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Администратор проекта </w:t>
            </w:r>
          </w:p>
          <w:p>
            <w:pPr>
              <w:pStyle w:val="TableContents"/>
              <w:rPr/>
            </w:pPr>
            <w:r>
              <w:rPr/>
              <w:t xml:space="preserve">(программы)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Сотрудник проектного офиса </w:t>
            </w:r>
          </w:p>
        </w:tc>
        <w:tc>
          <w:tcPr>
            <w:tcW w:w="24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Углубленный уровень </w:t>
            </w:r>
          </w:p>
        </w:tc>
        <w:tc>
          <w:tcPr>
            <w:tcW w:w="292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Успешное прохождение теста за 1 астрономический час </w:t>
            </w:r>
          </w:p>
          <w:p>
            <w:pPr>
              <w:pStyle w:val="TableContents"/>
              <w:rPr/>
            </w:pPr>
            <w:r>
              <w:rPr/>
              <w:t xml:space="preserve">(50 тестовых заданий)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 не менее 65% правильных ответов 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Высокий уровень сложности – 20 </w:t>
            </w:r>
          </w:p>
          <w:p>
            <w:pPr>
              <w:pStyle w:val="TableContents"/>
              <w:rPr/>
            </w:pPr>
            <w:r>
              <w:rPr/>
              <w:t xml:space="preserve">Средний уровень сложности – 20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Низкий уровень сложности – 10 </w:t>
            </w:r>
          </w:p>
        </w:tc>
        <w:tc>
          <w:tcPr>
            <w:tcW w:w="156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проектного офиса </w:t>
            </w:r>
          </w:p>
        </w:tc>
        <w:tc>
          <w:tcPr>
            <w:tcW w:w="24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Углубленный уровень </w:t>
            </w:r>
          </w:p>
        </w:tc>
        <w:tc>
          <w:tcPr>
            <w:tcW w:w="292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Успешное прохождение теста за 1 астрономический час </w:t>
            </w:r>
          </w:p>
          <w:p>
            <w:pPr>
              <w:pStyle w:val="TableContents"/>
              <w:rPr/>
            </w:pPr>
            <w:r>
              <w:rPr/>
              <w:t xml:space="preserve">(50 тестовых заданий)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 не менее 65% правильных ответов 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Высокий уровень сложности – 20 </w:t>
            </w:r>
          </w:p>
          <w:p>
            <w:pPr>
              <w:pStyle w:val="TableContents"/>
              <w:rPr/>
            </w:pPr>
            <w:r>
              <w:rPr/>
              <w:t xml:space="preserve">Средний уровень сложности – 20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Низкий уровень сложности – 10 </w:t>
            </w:r>
          </w:p>
        </w:tc>
        <w:tc>
          <w:tcPr>
            <w:tcW w:w="156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Участник проекта </w:t>
            </w:r>
          </w:p>
        </w:tc>
        <w:tc>
          <w:tcPr>
            <w:tcW w:w="24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Базовый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уровень </w:t>
            </w:r>
          </w:p>
        </w:tc>
        <w:tc>
          <w:tcPr>
            <w:tcW w:w="292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Успешное прохождение теста за 1 астрономический час </w:t>
            </w:r>
          </w:p>
          <w:p>
            <w:pPr>
              <w:pStyle w:val="TableContents"/>
              <w:rPr/>
            </w:pPr>
            <w:r>
              <w:rPr/>
              <w:t xml:space="preserve">(50 тестовых заданий)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 не менее 65% правильных ответов 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Высокий уровень сложности – 10 </w:t>
            </w:r>
          </w:p>
          <w:p>
            <w:pPr>
              <w:pStyle w:val="TableContents"/>
              <w:rPr/>
            </w:pPr>
            <w:r>
              <w:rPr/>
              <w:t xml:space="preserve">Средний уровень сложности – 20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Низкий уровень сложности – 20 </w:t>
            </w:r>
          </w:p>
        </w:tc>
        <w:tc>
          <w:tcPr>
            <w:tcW w:w="156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