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14-3/10/В-1979 от 21 марта 2018 г.</w:t>
      </w:r>
    </w:p>
    <w:p>
      <w:pPr>
        <w:pStyle w:val="Heading2"/>
        <w:rPr/>
      </w:pPr>
      <w:r>
        <w:rPr/>
        <w:t xml:space="preserve">Президенту Российского союза промышленников и предпринимателей А.Н. Шохину </w:t>
      </w:r>
    </w:p>
    <w:p>
      <w:pPr>
        <w:pStyle w:val="TextBody"/>
        <w:rPr/>
      </w:pPr>
      <w:r>
        <w:rPr/>
        <w:t>Уважаемый Александр Николаевич! </w:t>
      </w:r>
    </w:p>
    <w:p>
      <w:pPr>
        <w:pStyle w:val="TextBody"/>
        <w:rPr/>
      </w:pPr>
      <w:r>
        <w:rPr/>
        <w:t xml:space="preserve">Министерство труда и социальной защиты Российской Федерации с учетом решений, принятых на совещании у Министра Российской Федерации М.А. Абызова по вопросу рассмотрения предложений Общественно-делового совета приоритетной программы "Реформа контрольной и надзорной деятельности", не вошедших в планы мероприятий ("дорожные карты") по актуализации, оптимизации и отмене обязательных требований в сфере труда, 14 марта 2018 г. сообщает по вопросу внесения изменений в статьи 57 и 195.3 Трудового кодекса Российской Федерации  с целью установления единой терминологии. </w:t>
      </w:r>
    </w:p>
    <w:p>
      <w:pPr>
        <w:pStyle w:val="TextBody"/>
        <w:rPr/>
      </w:pPr>
      <w:r>
        <w:rPr/>
        <w:t xml:space="preserve">Предложение о замене в статье 57 ТК РФ слов «квалификационные требования к ним» словами «требования к квалификации» полагаем избыточным, так как указанные понятия являются тождественными. </w:t>
      </w:r>
    </w:p>
    <w:p>
      <w:pPr>
        <w:pStyle w:val="TextBody"/>
        <w:rPr/>
      </w:pPr>
      <w:r>
        <w:rPr/>
        <w:t xml:space="preserve">Формулировки в действующей редакции статьи 57 ТК РФ при подготовке проекта федерального закона были одобрены Российским союзом промышленников и предпринимателей, а также Федерацией независимых профсоюзов России в рамках Российской трехсторонней комиссией по регулированию социально-трудовых отношений. </w:t>
      </w:r>
    </w:p>
    <w:p>
      <w:pPr>
        <w:pStyle w:val="TextBody"/>
        <w:rPr/>
      </w:pPr>
      <w:r>
        <w:rPr/>
        <w:t xml:space="preserve">В подзаконных актах также используются в одном и том же значении и «квалификационные требования»  (к специалистам, экспертам, должностям, спортивным судьям и т.д.) и «требования к квалификации» (актуариев, педагогических кадров, сотрудников, врачей и т.д.). </w:t>
      </w:r>
    </w:p>
    <w:p>
      <w:pPr>
        <w:pStyle w:val="TextBody"/>
        <w:rPr/>
      </w:pPr>
      <w:r>
        <w:rPr/>
        <w:t xml:space="preserve">Минтрудом России осуществляется анализ правоприменительной практики, в случае возникновения проблем в ходе реализации нормативных правовых актов в сфере развития профессиональных квалификаций они выносятся, в том числе работодателями, на обсуждение в Национальном совете по профессиональным квалификациям при Президенте Российской Федерации (далее – Национальный совет) и его рабочих группах. </w:t>
      </w:r>
    </w:p>
    <w:p>
      <w:pPr>
        <w:pStyle w:val="TextBody"/>
        <w:rPr/>
      </w:pPr>
      <w:r>
        <w:rPr/>
        <w:t xml:space="preserve">Таким образом, при возникновении на практике потребности в изменении терминологии, соответствующие предложения будут вынесены на рассмотрение Национального совета. </w:t>
      </w:r>
    </w:p>
    <w:p>
      <w:pPr>
        <w:pStyle w:val="TextBody"/>
        <w:rPr/>
      </w:pPr>
      <w:r>
        <w:rPr/>
        <w:t xml:space="preserve">Учитывая изложенное, в настоящее время внесение изменений в статьи 57 и 195.3 Трудового кодекса Российской Федерации  с целью установления единой терминологии не требуется. </w:t>
      </w:r>
    </w:p>
    <w:p>
      <w:pPr>
        <w:pStyle w:val="TextBody"/>
        <w:rPr/>
      </w:pPr>
      <w:r>
        <w:rPr/>
        <w:t>Заместитель Министра труда и социальной защиты Российской Федерации  </w:t>
      </w:r>
    </w:p>
    <w:p>
      <w:pPr>
        <w:pStyle w:val="TextBody"/>
        <w:spacing w:before="0" w:after="283"/>
        <w:rPr/>
      </w:pPr>
      <w:r>
        <w:rPr/>
        <w:t> </w:t>
      </w:r>
      <w:r>
        <w:rP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