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2019-2021 годы</w:t>
      </w:r>
    </w:p>
    <w:p>
      <w:pPr>
        <w:pStyle w:val="Heading2"/>
        <w:rPr/>
      </w:pPr>
      <w:r>
        <w:rPr/>
        <w:t>Соглашение подписано 25 июля 2018 г., зарегистрировано в Федеральной службе по труду и занятости 16 августа 2018 г., регистрационный № 14/19-21</w:t>
      </w:r>
    </w:p>
    <w:p>
      <w:pPr>
        <w:pStyle w:val="TextBody"/>
        <w:rPr/>
      </w:pPr>
      <w:r>
        <w:rPr/>
        <w:t>Настоящее Отраслевое тарифное соглашение по организациям нефтеперерабатывающей отрасли промышленности и системы нефтепродуктообеспечения на 2019-2021 годы (далее –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соответствующий период, и направлено на обеспечение стабильной эффективной деятельности организаций нефтеперерабатывающей отрасли промышленности и системы нефтепродуктообеспечения,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pPr>
        <w:pStyle w:val="TextBody"/>
        <w:numPr>
          <w:ilvl w:val="0"/>
          <w:numId w:val="1"/>
        </w:numPr>
        <w:tabs>
          <w:tab w:val="left" w:pos="0" w:leader="none"/>
        </w:tabs>
        <w:ind w:left="707" w:hanging="283"/>
        <w:rPr/>
      </w:pPr>
      <w:r>
        <w:rPr>
          <w:rStyle w:val="StrongEmphasis"/>
        </w:rPr>
        <w:t>ОБЩИЕ ПОЛОЖЕНИЯ</w:t>
      </w:r>
      <w:r>
        <w:rPr/>
        <w:t xml:space="preserve"> </w:t>
      </w:r>
    </w:p>
    <w:p>
      <w:pPr>
        <w:pStyle w:val="TextBody"/>
        <w:rPr/>
      </w:pPr>
      <w:r>
        <w:rPr/>
        <w:t>1.1. Сторонами Соглашения являются:</w:t>
      </w:r>
    </w:p>
    <w:p>
      <w:pPr>
        <w:pStyle w:val="TextBody"/>
        <w:numPr>
          <w:ilvl w:val="0"/>
          <w:numId w:val="2"/>
        </w:numPr>
        <w:tabs>
          <w:tab w:val="left" w:pos="0" w:leader="none"/>
        </w:tabs>
        <w:spacing w:before="0" w:after="0"/>
        <w:ind w:left="707" w:hanging="283"/>
        <w:rPr/>
      </w:pPr>
      <w:r>
        <w:rPr/>
        <w:t xml:space="preserve">работники в лице их представителя – Российского профессионального союза работников химических отраслей промышленности (далее – Росхимпрофсоюз, Профсоюз); </w:t>
      </w:r>
    </w:p>
    <w:p>
      <w:pPr>
        <w:pStyle w:val="TextBody"/>
        <w:numPr>
          <w:ilvl w:val="0"/>
          <w:numId w:val="2"/>
        </w:numPr>
        <w:tabs>
          <w:tab w:val="left" w:pos="0" w:leader="none"/>
        </w:tabs>
        <w:ind w:left="707" w:hanging="283"/>
        <w:rPr/>
      </w:pPr>
      <w:r>
        <w:rPr/>
        <w:t xml:space="preserve">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 </w:t>
      </w:r>
    </w:p>
    <w:p>
      <w:pPr>
        <w:pStyle w:val="TextBody"/>
        <w:rPr/>
      </w:pPr>
      <w:r>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pPr>
        <w:pStyle w:val="TextBody"/>
        <w:rPr/>
      </w:pPr>
      <w:r>
        <w:rPr/>
        <w:t>1.3. Соглашение заключено на 2019-2021 годы, вступает в силу с 1 января 2019 года и действует по 31 декабря 2021 года включительно.</w:t>
      </w:r>
    </w:p>
    <w:p>
      <w:pPr>
        <w:pStyle w:val="TextBody"/>
        <w:rPr/>
      </w:pPr>
      <w:r>
        <w:rPr/>
        <w:t>Соглашение распространяется:</w:t>
      </w:r>
    </w:p>
    <w:p>
      <w:pPr>
        <w:pStyle w:val="TextBody"/>
        <w:numPr>
          <w:ilvl w:val="0"/>
          <w:numId w:val="3"/>
        </w:numPr>
        <w:tabs>
          <w:tab w:val="left" w:pos="0" w:leader="none"/>
        </w:tabs>
        <w:spacing w:before="0" w:after="0"/>
        <w:ind w:left="707" w:hanging="283"/>
        <w:rPr/>
      </w:pPr>
      <w:r>
        <w:rPr/>
        <w:t xml:space="preserve">на работодателей организаций нефтеперерабатывающей отрасли промышленности и системы нефтепродуктообеспечения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 </w:t>
      </w:r>
    </w:p>
    <w:p>
      <w:pPr>
        <w:pStyle w:val="TextBody"/>
        <w:numPr>
          <w:ilvl w:val="0"/>
          <w:numId w:val="3"/>
        </w:numPr>
        <w:tabs>
          <w:tab w:val="left" w:pos="0" w:leader="none"/>
        </w:tabs>
        <w:ind w:left="707" w:hanging="283"/>
        <w:rPr/>
      </w:pPr>
      <w:r>
        <w:rPr/>
        <w:t xml:space="preserve">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Соглашение считается распространенным на работодателей, не являющихся членами Союза и не уполномочивших Союз от их имени участвовать в коллективных переговорах и заключить Соглашение,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pPr>
        <w:pStyle w:val="TextBody"/>
        <w:rPr/>
      </w:pPr>
      <w:r>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(как правило не более трех)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данных отдельных положений Соглашения в отношении данного работодателя.</w:t>
      </w:r>
    </w:p>
    <w:p>
      <w:pPr>
        <w:pStyle w:val="TextBody"/>
        <w:rPr/>
      </w:pPr>
      <w:r>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трудовых договоров с работниками, принятии локальных нормативных актов, содержащих нормы трудового права, а также при разрешении коллективных и индивидуальных трудовых споров.</w:t>
      </w:r>
    </w:p>
    <w:p>
      <w:pPr>
        <w:pStyle w:val="TextBody"/>
        <w:rPr/>
      </w:pPr>
      <w:r>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pPr>
        <w:pStyle w:val="TextBody"/>
        <w:rPr/>
      </w:pPr>
      <w:r>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внесенных в установленном порядке в Соглашение, доводится сторонами Соглашения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pPr>
        <w:pStyle w:val="TextBody"/>
        <w:rPr/>
      </w:pPr>
      <w:r>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pPr>
        <w:pStyle w:val="TextBody"/>
        <w:rPr/>
      </w:pPr>
      <w:r>
        <w:rPr/>
        <w:t>1.9. В случае реорганизации одной из сторон Соглашения, права и обязанности по выполнению настоящего Соглашения возлагаются на правопреемника.</w:t>
      </w:r>
    </w:p>
    <w:p>
      <w:pPr>
        <w:pStyle w:val="TextBody"/>
        <w:rPr/>
      </w:pPr>
      <w:r>
        <w:rPr/>
        <w:t>1.10. После подписания и регистрации настоящего Соглашения в соответствующем органе по труду, информация о нем в месячный срок Сторонами Соглашения направляется работодателям и в соответствующие выборные органы территориальных организаций Росхимпрофсоюза и первичных (объединенных) профсоюзных организаций. Текст Соглашения публикуется в «Информационном бюллетене Росхимпрофсоюза», размещается на сайте Росхимпрофсоюза в сети Интернет (www.chеmprof.ru) и на сайте Российского Союза химиков (www.ruschеmunion.ru, www.союзхимиков.рф).</w:t>
      </w:r>
    </w:p>
    <w:p>
      <w:pPr>
        <w:pStyle w:val="TextBody"/>
        <w:numPr>
          <w:ilvl w:val="0"/>
          <w:numId w:val="4"/>
        </w:numPr>
        <w:tabs>
          <w:tab w:val="left" w:pos="0" w:leader="none"/>
        </w:tabs>
        <w:ind w:left="707" w:hanging="283"/>
        <w:rPr/>
      </w:pPr>
      <w:r>
        <w:rPr>
          <w:rStyle w:val="StrongEmphasis"/>
        </w:rPr>
        <w:t>ОБЯЗАТЕЛЬСТВА СТОРОН</w:t>
      </w:r>
      <w:r>
        <w:rPr/>
        <w:t xml:space="preserve"> </w:t>
      </w:r>
    </w:p>
    <w:p>
      <w:pPr>
        <w:pStyle w:val="TextBody"/>
        <w:rPr/>
      </w:pPr>
      <w:r>
        <w:rPr/>
        <w:t>Стороны строят свои отношения друг с другом на следующих принципах социального партнерства:</w:t>
      </w:r>
    </w:p>
    <w:p>
      <w:pPr>
        <w:pStyle w:val="TextBody"/>
        <w:numPr>
          <w:ilvl w:val="0"/>
          <w:numId w:val="5"/>
        </w:numPr>
        <w:tabs>
          <w:tab w:val="left" w:pos="0" w:leader="none"/>
        </w:tabs>
        <w:spacing w:before="0" w:after="0"/>
        <w:ind w:left="707" w:hanging="283"/>
        <w:rPr/>
      </w:pPr>
      <w:r>
        <w:rPr/>
        <w:t xml:space="preserve">равноправия; </w:t>
      </w:r>
    </w:p>
    <w:p>
      <w:pPr>
        <w:pStyle w:val="TextBody"/>
        <w:numPr>
          <w:ilvl w:val="0"/>
          <w:numId w:val="5"/>
        </w:numPr>
        <w:tabs>
          <w:tab w:val="left" w:pos="0" w:leader="none"/>
        </w:tabs>
        <w:spacing w:before="0" w:after="0"/>
        <w:ind w:left="707" w:hanging="283"/>
        <w:rPr/>
      </w:pPr>
      <w:r>
        <w:rPr/>
        <w:t xml:space="preserve">уважения и учета интересов; </w:t>
      </w:r>
    </w:p>
    <w:p>
      <w:pPr>
        <w:pStyle w:val="TextBody"/>
        <w:numPr>
          <w:ilvl w:val="0"/>
          <w:numId w:val="5"/>
        </w:numPr>
        <w:tabs>
          <w:tab w:val="left" w:pos="0" w:leader="none"/>
        </w:tabs>
        <w:spacing w:before="0" w:after="0"/>
        <w:ind w:left="707" w:hanging="283"/>
        <w:rPr/>
      </w:pPr>
      <w:r>
        <w:rPr/>
        <w:t xml:space="preserve">заинтересованности в участии в договорных отношениях; </w:t>
      </w:r>
    </w:p>
    <w:p>
      <w:pPr>
        <w:pStyle w:val="TextBody"/>
        <w:numPr>
          <w:ilvl w:val="0"/>
          <w:numId w:val="5"/>
        </w:numPr>
        <w:tabs>
          <w:tab w:val="left" w:pos="0" w:leader="none"/>
        </w:tabs>
        <w:spacing w:before="0" w:after="0"/>
        <w:ind w:left="707" w:hanging="283"/>
        <w:rPr/>
      </w:pPr>
      <w:r>
        <w:rPr/>
        <w:t xml:space="preserve">соблюдения сторонами и их представителями законов и иных нормативно-правовых актов; </w:t>
      </w:r>
    </w:p>
    <w:p>
      <w:pPr>
        <w:pStyle w:val="TextBody"/>
        <w:numPr>
          <w:ilvl w:val="0"/>
          <w:numId w:val="5"/>
        </w:numPr>
        <w:tabs>
          <w:tab w:val="left" w:pos="0" w:leader="none"/>
        </w:tabs>
        <w:spacing w:before="0" w:after="0"/>
        <w:ind w:left="707" w:hanging="283"/>
        <w:rPr/>
      </w:pPr>
      <w:r>
        <w:rPr/>
        <w:t xml:space="preserve">полномочности представителей сторон; </w:t>
      </w:r>
    </w:p>
    <w:p>
      <w:pPr>
        <w:pStyle w:val="TextBody"/>
        <w:numPr>
          <w:ilvl w:val="0"/>
          <w:numId w:val="5"/>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5"/>
        </w:numPr>
        <w:tabs>
          <w:tab w:val="left" w:pos="0" w:leader="none"/>
        </w:tabs>
        <w:spacing w:before="0" w:after="0"/>
        <w:ind w:left="707" w:hanging="283"/>
        <w:rPr/>
      </w:pPr>
      <w:r>
        <w:rPr/>
        <w:t xml:space="preserve">добровольности принятия на себя обязательств; </w:t>
      </w:r>
    </w:p>
    <w:p>
      <w:pPr>
        <w:pStyle w:val="TextBody"/>
        <w:numPr>
          <w:ilvl w:val="0"/>
          <w:numId w:val="5"/>
        </w:numPr>
        <w:tabs>
          <w:tab w:val="left" w:pos="0" w:leader="none"/>
        </w:tabs>
        <w:spacing w:before="0" w:after="0"/>
        <w:ind w:left="707" w:hanging="283"/>
        <w:rPr/>
      </w:pPr>
      <w:r>
        <w:rPr/>
        <w:t xml:space="preserve">реальности принимаемых на себя обязательств; </w:t>
      </w:r>
    </w:p>
    <w:p>
      <w:pPr>
        <w:pStyle w:val="TextBody"/>
        <w:numPr>
          <w:ilvl w:val="0"/>
          <w:numId w:val="5"/>
        </w:numPr>
        <w:tabs>
          <w:tab w:val="left" w:pos="0" w:leader="none"/>
        </w:tabs>
        <w:spacing w:before="0" w:after="0"/>
        <w:ind w:left="707" w:hanging="283"/>
        <w:rPr/>
      </w:pPr>
      <w:r>
        <w:rPr/>
        <w:t xml:space="preserve">обязательности выполнения настоящего Соглашения; </w:t>
      </w:r>
    </w:p>
    <w:p>
      <w:pPr>
        <w:pStyle w:val="TextBody"/>
        <w:numPr>
          <w:ilvl w:val="0"/>
          <w:numId w:val="5"/>
        </w:numPr>
        <w:tabs>
          <w:tab w:val="left" w:pos="0" w:leader="none"/>
        </w:tabs>
        <w:ind w:left="707" w:hanging="283"/>
        <w:rPr/>
      </w:pPr>
      <w:r>
        <w:rPr/>
        <w:t xml:space="preserve">ответственности сторон и их представителей за невыполнение условий настоящего Соглашения. </w:t>
      </w:r>
    </w:p>
    <w:p>
      <w:pPr>
        <w:pStyle w:val="TextBody"/>
        <w:rPr/>
      </w:pPr>
      <w:r>
        <w:rPr/>
        <w:t>2.1. Договаривающиеся стороны обязуются:</w:t>
      </w:r>
    </w:p>
    <w:p>
      <w:pPr>
        <w:pStyle w:val="TextBody"/>
        <w:rPr/>
      </w:pPr>
      <w:r>
        <w:rPr/>
        <w:t>2.1.1. Сотрудничать на паритетных началах при решении социально-экономических проблем организаций нефтеперерабатывающей отрасли промышленности и системы нефтепродуктообеспечения; выступать в органах государственной власти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pPr>
        <w:pStyle w:val="TextBody"/>
        <w:rPr/>
      </w:pPr>
      <w:r>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pPr>
        <w:pStyle w:val="TextBody"/>
        <w:rPr/>
      </w:pPr>
      <w:r>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и форм собственности, на которых распространяются положения настоящего Соглашения, и не могут быть снижены при заключении коллективных договоров.</w:t>
      </w:r>
    </w:p>
    <w:p>
      <w:pPr>
        <w:pStyle w:val="TextBody"/>
        <w:rPr/>
      </w:pPr>
      <w:r>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pPr>
        <w:pStyle w:val="TextBody"/>
        <w:rPr/>
      </w:pPr>
      <w:r>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pPr>
        <w:pStyle w:val="TextBody"/>
        <w:rPr/>
      </w:pPr>
      <w:r>
        <w:rPr/>
        <w:t>2.1.6. Добиваться в государственных органах исполнительной власти и местного самоуправления решения вопросов защиты экономических и социальных прав и интересов работников.</w:t>
      </w:r>
    </w:p>
    <w:p>
      <w:pPr>
        <w:pStyle w:val="TextBody"/>
        <w:rPr/>
      </w:pPr>
      <w:r>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передовой опыт организаций.</w:t>
      </w:r>
    </w:p>
    <w:p>
      <w:pPr>
        <w:pStyle w:val="TextBody"/>
        <w:rPr/>
      </w:pPr>
      <w:r>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pPr>
        <w:pStyle w:val="TextBody"/>
        <w:rPr/>
      </w:pPr>
      <w:r>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pPr>
        <w:pStyle w:val="TextBody"/>
        <w:rPr/>
      </w:pPr>
      <w:r>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pPr>
        <w:pStyle w:val="TextBody"/>
        <w:rPr/>
      </w:pPr>
      <w:r>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нефтяной, нефтеперерабатывающей, газовой отраслях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и Перечнем минимума необходимых работ (услуг) в нефтеперерабатывающей отрасли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(утверждены приказом Минэнерго России от 09.07.2003 № 306 и зарегистрирован в Минюсте России 28.07.2003 № 4929).</w:t>
      </w:r>
    </w:p>
    <w:p>
      <w:pPr>
        <w:pStyle w:val="TextBody"/>
        <w:rPr/>
      </w:pPr>
      <w:r>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pPr>
        <w:pStyle w:val="TextBody"/>
        <w:rPr/>
      </w:pPr>
      <w:r>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pPr>
        <w:pStyle w:val="TextBody"/>
        <w:rPr/>
      </w:pPr>
      <w:r>
        <w:rPr/>
        <w:t>2.2. Работодатели обязуются:</w:t>
      </w:r>
    </w:p>
    <w:p>
      <w:pPr>
        <w:pStyle w:val="TextBody"/>
        <w:rPr/>
      </w:pPr>
      <w:r>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pPr>
        <w:pStyle w:val="TextBody"/>
        <w:rPr/>
      </w:pPr>
      <w:r>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pPr>
        <w:pStyle w:val="TextBody"/>
        <w:rPr/>
      </w:pPr>
      <w:r>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pPr>
        <w:pStyle w:val="TextBody"/>
        <w:rPr/>
      </w:pPr>
      <w:r>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pPr>
        <w:pStyle w:val="TextBody"/>
        <w:rPr/>
      </w:pPr>
      <w:r>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pPr>
        <w:pStyle w:val="TextBody"/>
        <w:numPr>
          <w:ilvl w:val="0"/>
          <w:numId w:val="6"/>
        </w:numPr>
        <w:tabs>
          <w:tab w:val="left" w:pos="0" w:leader="none"/>
        </w:tabs>
        <w:spacing w:before="0" w:after="0"/>
        <w:ind w:left="707" w:hanging="283"/>
        <w:rPr/>
      </w:pPr>
      <w:r>
        <w:rPr/>
        <w:t xml:space="preserve">повышение жизненного уровня работников; </w:t>
      </w:r>
    </w:p>
    <w:p>
      <w:pPr>
        <w:pStyle w:val="TextBody"/>
        <w:numPr>
          <w:ilvl w:val="0"/>
          <w:numId w:val="6"/>
        </w:numPr>
        <w:tabs>
          <w:tab w:val="left" w:pos="0" w:leader="none"/>
        </w:tabs>
        <w:spacing w:before="0" w:after="0"/>
        <w:ind w:left="707" w:hanging="283"/>
        <w:rPr/>
      </w:pPr>
      <w:r>
        <w:rPr/>
        <w:t xml:space="preserve">содействие повышению эффективности производства; </w:t>
      </w:r>
    </w:p>
    <w:p>
      <w:pPr>
        <w:pStyle w:val="TextBody"/>
        <w:numPr>
          <w:ilvl w:val="0"/>
          <w:numId w:val="6"/>
        </w:numPr>
        <w:tabs>
          <w:tab w:val="left" w:pos="0" w:leader="none"/>
        </w:tabs>
        <w:spacing w:before="0" w:after="0"/>
        <w:ind w:left="707" w:hanging="283"/>
        <w:rPr/>
      </w:pPr>
      <w:r>
        <w:rPr/>
        <w:t xml:space="preserve">обеспечение роста реальной заработной платы и своевременной ее выплаты; </w:t>
      </w:r>
    </w:p>
    <w:p>
      <w:pPr>
        <w:pStyle w:val="TextBody"/>
        <w:numPr>
          <w:ilvl w:val="0"/>
          <w:numId w:val="6"/>
        </w:numPr>
        <w:tabs>
          <w:tab w:val="left" w:pos="0" w:leader="none"/>
        </w:tabs>
        <w:spacing w:before="0" w:after="0"/>
        <w:ind w:left="707" w:hanging="283"/>
        <w:rPr/>
      </w:pPr>
      <w:r>
        <w:rPr/>
        <w:t xml:space="preserve">соблюдение режима рабочего времени и времени отдыха; </w:t>
      </w:r>
    </w:p>
    <w:p>
      <w:pPr>
        <w:pStyle w:val="TextBody"/>
        <w:numPr>
          <w:ilvl w:val="0"/>
          <w:numId w:val="6"/>
        </w:numPr>
        <w:tabs>
          <w:tab w:val="left" w:pos="0" w:leader="none"/>
        </w:tabs>
        <w:spacing w:before="0" w:after="0"/>
        <w:ind w:left="707" w:hanging="283"/>
        <w:rPr/>
      </w:pPr>
      <w:r>
        <w:rPr/>
        <w:t xml:space="preserve">контроль за соблюдением работодателями, их объединениями трудового законодательства; </w:t>
      </w:r>
    </w:p>
    <w:p>
      <w:pPr>
        <w:pStyle w:val="TextBody"/>
        <w:numPr>
          <w:ilvl w:val="0"/>
          <w:numId w:val="6"/>
        </w:numPr>
        <w:tabs>
          <w:tab w:val="left" w:pos="0" w:leader="none"/>
        </w:tabs>
        <w:spacing w:before="0" w:after="0"/>
        <w:ind w:left="707" w:hanging="283"/>
        <w:rPr/>
      </w:pPr>
      <w:r>
        <w:rPr/>
        <w:t xml:space="preserve">контроль за созданием работодателями здоровых и безопасных условий труда; </w:t>
      </w:r>
    </w:p>
    <w:p>
      <w:pPr>
        <w:pStyle w:val="TextBody"/>
        <w:numPr>
          <w:ilvl w:val="0"/>
          <w:numId w:val="6"/>
        </w:numPr>
        <w:tabs>
          <w:tab w:val="left" w:pos="0" w:leader="none"/>
        </w:tabs>
        <w:ind w:left="707" w:hanging="283"/>
        <w:rPr/>
      </w:pPr>
      <w:r>
        <w:rPr/>
        <w:t xml:space="preserve">содействие сохранению деятельности и развитию предприятий (организаций) и трудовых коллективов. </w:t>
      </w:r>
    </w:p>
    <w:p>
      <w:pPr>
        <w:pStyle w:val="TextBody"/>
        <w:rPr/>
      </w:pPr>
      <w:r>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и положений, установленных действующим законодательством, настоящим Соглашением и коллективными договорами организаций.</w:t>
      </w:r>
    </w:p>
    <w:p>
      <w:pPr>
        <w:pStyle w:val="TextBody"/>
        <w:numPr>
          <w:ilvl w:val="0"/>
          <w:numId w:val="7"/>
        </w:numPr>
        <w:tabs>
          <w:tab w:val="left" w:pos="0" w:leader="none"/>
        </w:tabs>
        <w:ind w:left="707" w:hanging="283"/>
        <w:rPr/>
      </w:pPr>
      <w:r>
        <w:rPr>
          <w:rStyle w:val="StrongEmphasis"/>
        </w:rPr>
        <w:t>ТРУДОВЫЕ ПРАВООТНОШЕНИЯ</w:t>
      </w:r>
      <w:r>
        <w:rPr/>
        <w:t xml:space="preserve"> </w:t>
      </w:r>
    </w:p>
    <w:p>
      <w:pPr>
        <w:pStyle w:val="TextBody"/>
        <w:rPr/>
      </w:pPr>
      <w:r>
        <w:rPr/>
        <w:t>3.1. Трудовые отношения между работником и работодателем регулируются действующим законодательством, Генеральным и соответствующим региональным соглашениями, настоящим Соглашением, коллективным договором, а также трудовым договором.</w:t>
      </w:r>
    </w:p>
    <w:p>
      <w:pPr>
        <w:pStyle w:val="TextBody"/>
        <w:rPr/>
      </w:pPr>
      <w:r>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pPr>
        <w:pStyle w:val="TextBody"/>
        <w:rPr/>
      </w:pPr>
      <w:r>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TextBody"/>
        <w:rPr/>
      </w:pPr>
      <w:r>
        <w:rPr/>
        <w:t>Смена собственника не является основанием для расторжения трудовых договоров с другими работниками организации.</w:t>
      </w:r>
    </w:p>
    <w:p>
      <w:pPr>
        <w:pStyle w:val="TextBody"/>
        <w:rPr/>
      </w:pPr>
      <w:r>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numPr>
          <w:ilvl w:val="0"/>
          <w:numId w:val="8"/>
        </w:numPr>
        <w:tabs>
          <w:tab w:val="left" w:pos="0" w:leader="none"/>
        </w:tabs>
        <w:ind w:left="707" w:hanging="283"/>
        <w:rPr/>
      </w:pPr>
      <w:r>
        <w:rPr>
          <w:rStyle w:val="StrongEmphasis"/>
        </w:rPr>
        <w:t>РАБОЧЕЕ ВРЕМЯ И ВРЕМЯ ОТДЫХА</w:t>
      </w:r>
      <w:r>
        <w:rPr/>
        <w:t xml:space="preserve"> </w:t>
      </w:r>
    </w:p>
    <w:p>
      <w:pPr>
        <w:pStyle w:val="TextBody"/>
        <w:rPr/>
      </w:pPr>
      <w:r>
        <w:rPr/>
        <w:t>4.1. Рабочее время.</w:t>
      </w:r>
    </w:p>
    <w:p>
      <w:pPr>
        <w:pStyle w:val="TextBody"/>
        <w:rPr/>
      </w:pPr>
      <w:r>
        <w:rPr/>
        <w:t>4.1.1. Нормальная продолжительность рабочего времени работников организаций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(классы условий труда 3.3 или 3.4) или опасным условиям труда продолжительность рабочего времени не должна превышать 36 часов в неделю.</w:t>
      </w:r>
    </w:p>
    <w:p>
      <w:pPr>
        <w:pStyle w:val="TextBody"/>
        <w:rPr/>
      </w:pPr>
      <w:r>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pPr>
        <w:pStyle w:val="TextBody"/>
        <w:rPr/>
      </w:pPr>
      <w:r>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pPr>
        <w:pStyle w:val="TextBody"/>
        <w:rPr/>
      </w:pPr>
      <w:r>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pPr>
        <w:pStyle w:val="TextBody"/>
        <w:rPr/>
      </w:pPr>
      <w:r>
        <w:rPr/>
        <w:t>Продолжительность учетного периода для работников, занятых на работах с вредными и (или) опасными условиями труда не может превышать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органа первичной (объединенной) профсоюзной организации</w:t>
      </w:r>
    </w:p>
    <w:p>
      <w:pPr>
        <w:pStyle w:val="TextBody"/>
        <w:rPr/>
      </w:pPr>
      <w:r>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положение работника по сравнению с нормами трудового законодательства.</w:t>
      </w:r>
    </w:p>
    <w:p>
      <w:pPr>
        <w:pStyle w:val="TextBody"/>
        <w:rPr/>
      </w:pPr>
      <w:r>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pPr>
        <w:pStyle w:val="TextBody"/>
        <w:rPr/>
      </w:pPr>
      <w:r>
        <w:rPr/>
        <w:t>4.2. Время отдыха.</w:t>
      </w:r>
    </w:p>
    <w:p>
      <w:pPr>
        <w:pStyle w:val="TextBody"/>
        <w:rPr/>
      </w:pPr>
      <w:r>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pPr>
        <w:pStyle w:val="TextBody"/>
        <w:numPr>
          <w:ilvl w:val="0"/>
          <w:numId w:val="9"/>
        </w:numPr>
        <w:tabs>
          <w:tab w:val="left" w:pos="0" w:leader="none"/>
        </w:tabs>
        <w:spacing w:before="0" w:after="0"/>
        <w:ind w:left="707" w:hanging="283"/>
        <w:rPr/>
      </w:pPr>
      <w:r>
        <w:rPr/>
        <w:t xml:space="preserve">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 </w:t>
      </w:r>
    </w:p>
    <w:p>
      <w:pPr>
        <w:pStyle w:val="TextBody"/>
        <w:numPr>
          <w:ilvl w:val="0"/>
          <w:numId w:val="9"/>
        </w:numPr>
        <w:tabs>
          <w:tab w:val="left" w:pos="0" w:leader="none"/>
        </w:tabs>
        <w:spacing w:before="0" w:after="0"/>
        <w:ind w:left="707" w:hanging="283"/>
        <w:rPr/>
      </w:pPr>
      <w:r>
        <w:rPr/>
        <w:t xml:space="preserve">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продолжительностью не менее 7 календарных дней; при этом работникам, условия труда на рабочих местах которых по результатам специальной оценки условий труда отнесены к вредным условиям труда 3 или 4 степени (подклассы условий труда 3.3 или 3.4) либо опасным условиям труда (класс условий труда 4), рекомендуется предоставлять ежегодный дополнительный оплачиваемый отпуск продолжительностью более 7 календарных дней. Коллективным договором организации устанавливается конкретная продолжительность ежегодных дополнительных оплачиваемых отпусков работников в зависимости от класса (подкласса) условий труда, определенного в результате специальной оценки условий труда. Продолжительность ежегодного дополнительного оплачиваемого отпуска каждого работника устанавливается трудовым договором с ним на основании настоящего Соглашения и коллективного договора организации; </w:t>
      </w:r>
    </w:p>
    <w:p>
      <w:pPr>
        <w:pStyle w:val="TextBody"/>
        <w:numPr>
          <w:ilvl w:val="0"/>
          <w:numId w:val="9"/>
        </w:numPr>
        <w:tabs>
          <w:tab w:val="left" w:pos="0" w:leader="none"/>
        </w:tabs>
        <w:ind w:left="707" w:hanging="283"/>
        <w:rPr/>
      </w:pPr>
      <w:r>
        <w:rPr/>
        <w:t xml:space="preserve">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органа первичной (объединенной) профсоюзной организации. </w:t>
      </w:r>
    </w:p>
    <w:p>
      <w:pPr>
        <w:pStyle w:val="TextBody"/>
        <w:rPr/>
      </w:pPr>
      <w:r>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pPr>
        <w:pStyle w:val="TextBody"/>
        <w:rPr/>
      </w:pPr>
      <w:r>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pPr>
        <w:pStyle w:val="TextBody"/>
        <w:rPr/>
      </w:pPr>
      <w:r>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pPr>
        <w:pStyle w:val="TextBody"/>
        <w:rPr/>
      </w:pPr>
      <w:r>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numPr>
          <w:ilvl w:val="0"/>
          <w:numId w:val="10"/>
        </w:numPr>
        <w:tabs>
          <w:tab w:val="left" w:pos="0" w:leader="none"/>
        </w:tabs>
        <w:ind w:left="707" w:hanging="283"/>
        <w:rPr/>
      </w:pPr>
      <w:r>
        <w:rPr>
          <w:rStyle w:val="StrongEmphasis"/>
        </w:rPr>
        <w:t>ОПЛАТА ТРУДА, НАДБАВКИ И ВОЗНАГРАЖДЕНИЯ</w:t>
      </w:r>
      <w:r>
        <w:rPr/>
        <w:t xml:space="preserve"> </w:t>
      </w:r>
    </w:p>
    <w:p>
      <w:pPr>
        <w:pStyle w:val="TextBody"/>
        <w:rPr/>
      </w:pPr>
      <w:r>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органа первичной (объединенной) профсоюзной организации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pPr>
        <w:pStyle w:val="TextBody"/>
        <w:rPr/>
      </w:pPr>
      <w:r>
        <w:rPr/>
        <w:t>5.2. Минимальный размер тарифной ставки (оклада) работников 1-го разряда, занятых в нормальных условиях труда в организациях нефтеперерабатывающей отрасли промышленности и системы нефтепродуктообеспечения, устанавливается в размере не менее 1,4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1,6, исчисляемого по отношению к указанной величине.</w:t>
      </w:r>
    </w:p>
    <w:p>
      <w:pPr>
        <w:pStyle w:val="TextBody"/>
        <w:rPr/>
      </w:pPr>
      <w:r>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pPr>
        <w:pStyle w:val="TextBody"/>
        <w:rPr/>
      </w:pPr>
      <w:r>
        <w:rPr/>
        <w:t>Размеры тарифных ставок (окладов) определяются без учета компенсационных, стимулирующих и социальных выплат, которые могут устанавливаться работникам лишь свыше указанного минимального размера тарифной ставки (оклада).</w:t>
      </w:r>
    </w:p>
    <w:p>
      <w:pPr>
        <w:pStyle w:val="TextBody"/>
        <w:rPr/>
      </w:pPr>
      <w:r>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pPr>
        <w:pStyle w:val="TextBody"/>
        <w:rPr/>
      </w:pPr>
      <w:r>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др. доплаты и надбавки, носящие постоянный характер) в размере не менее 65 процентов. Рекомендовать работодателям до истечения срока действия настоящего Соглашения довести удельный вес постоянной части до 70%.</w:t>
      </w:r>
    </w:p>
    <w:p>
      <w:pPr>
        <w:pStyle w:val="TextBody"/>
        <w:rPr/>
      </w:pPr>
      <w:r>
        <w:rPr/>
        <w:t>5.6. Работодатели стремятся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pPr>
        <w:pStyle w:val="TextBody"/>
        <w:rPr/>
      </w:pPr>
      <w:r>
        <w:rPr/>
        <w:t>5.7. Не реже одного раза в год проводится индексация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pPr>
        <w:pStyle w:val="TextBody"/>
        <w:rPr/>
      </w:pPr>
      <w:r>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pPr>
        <w:pStyle w:val="TextBody"/>
        <w:rPr/>
      </w:pPr>
      <w:r>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pPr>
        <w:pStyle w:val="TextBody"/>
        <w:rPr/>
      </w:pPr>
      <w:r>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органа первичной (объединенной) профсоюзной организации.</w:t>
      </w:r>
    </w:p>
    <w:p>
      <w:pPr>
        <w:pStyle w:val="TextBody"/>
        <w:rPr/>
      </w:pPr>
      <w:r>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pPr>
        <w:pStyle w:val="TextBody"/>
        <w:rPr/>
      </w:pPr>
      <w:r>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 или по соответствующим профессиональным стандартам.</w:t>
      </w:r>
    </w:p>
    <w:p>
      <w:pPr>
        <w:pStyle w:val="TextBody"/>
        <w:rPr/>
      </w:pPr>
      <w:r>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pPr>
        <w:pStyle w:val="TextBody"/>
        <w:rPr/>
      </w:pPr>
      <w:r>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pPr>
        <w:pStyle w:val="TextBody"/>
        <w:rPr/>
      </w:pPr>
      <w:r>
        <w:rPr/>
        <w:t>В период до выплаты задолженности по заработной плате работник имеет право не находиться на своем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специальной оценки условий труда и фиксируются в коллективных договорах либо локальных нормативных актах организации, принимаемых с учетом мнения выборного органа первичной (объединенной) профсоюзной организации, а также в  трудовых договорах с работниками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w:t>
      </w:r>
    </w:p>
    <w:p>
      <w:pPr>
        <w:pStyle w:val="TextBody"/>
        <w:rPr/>
      </w:pPr>
      <w:r>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pPr>
        <w:pStyle w:val="TextBody"/>
        <w:rPr/>
      </w:pPr>
      <w:r>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pPr>
        <w:pStyle w:val="TextBody"/>
        <w:rPr/>
      </w:pPr>
      <w:r>
        <w:rP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pPr>
        <w:pStyle w:val="TextBody"/>
        <w:rPr/>
      </w:pPr>
      <w:r>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pPr>
        <w:pStyle w:val="TextBody"/>
        <w:rPr/>
      </w:pPr>
      <w:r>
        <w:rPr/>
        <w:t>5.18. Работникам может выплачиваться надбавка за стаж работы, если это предусмотрено коллективным договором.</w:t>
      </w:r>
    </w:p>
    <w:p>
      <w:pPr>
        <w:pStyle w:val="TextBody"/>
        <w:rPr/>
      </w:pPr>
      <w:r>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pPr>
        <w:pStyle w:val="TextBody"/>
        <w:rPr/>
      </w:pPr>
      <w:r>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pPr>
        <w:pStyle w:val="TextBody"/>
        <w:rPr/>
      </w:pPr>
      <w:r>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w:t>
      </w:r>
    </w:p>
    <w:p>
      <w:pPr>
        <w:pStyle w:val="TextBody"/>
        <w:rPr/>
      </w:pPr>
      <w:r>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pPr>
        <w:pStyle w:val="TextBody"/>
        <w:numPr>
          <w:ilvl w:val="0"/>
          <w:numId w:val="11"/>
        </w:numPr>
        <w:tabs>
          <w:tab w:val="left" w:pos="0" w:leader="none"/>
        </w:tabs>
        <w:ind w:left="707" w:hanging="283"/>
        <w:rPr/>
      </w:pPr>
      <w:r>
        <w:rPr>
          <w:rStyle w:val="StrongEmphasis"/>
        </w:rPr>
        <w:t>СОЦИАЛЬНЫЕ ГАРАНТИИ, ЛЬГОТЫ И КОМПЕНСАЦИИ. СОЦИАЛЬНОЕ СТРАХОВАНИЕ</w:t>
      </w:r>
      <w:r>
        <w:rPr/>
        <w:t xml:space="preserve"> </w:t>
      </w:r>
    </w:p>
    <w:p>
      <w:pPr>
        <w:pStyle w:val="TextBody"/>
        <w:rPr/>
      </w:pPr>
      <w:r>
        <w:rPr/>
        <w:t>6.1. Работодатели в соответствии с действующим законодательством и коллективными договорами или локальными нормативными актами, а также трудовыми договорами предоставляют работникам следующие льготы и компенсации:</w:t>
      </w:r>
    </w:p>
    <w:p>
      <w:pPr>
        <w:pStyle w:val="TextBody"/>
        <w:rPr/>
      </w:pPr>
      <w:r>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6.1.2. Работодатели осуществляют возмещение вреда (сверх размеров, предусмотренных законодательством РФ) работникам в связи с их трудовыми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понимаются компенсации и выплаты в денежной форме потерпевшему работнику или его семье.</w:t>
      </w:r>
    </w:p>
    <w:p>
      <w:pPr>
        <w:pStyle w:val="TextBody"/>
        <w:rPr/>
      </w:pPr>
      <w:r>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pPr>
        <w:pStyle w:val="TextBody"/>
        <w:rPr/>
      </w:pPr>
      <w:r>
        <w:rPr/>
        <w:t>6.1.4. Возмещение вреда по обязательствам, предусмотренным пунктом 6.1.2. производится одним из двух способов:</w:t>
      </w:r>
    </w:p>
    <w:p>
      <w:pPr>
        <w:pStyle w:val="TextBody"/>
        <w:rPr/>
      </w:pPr>
      <w:r>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pPr>
        <w:pStyle w:val="TextBody"/>
        <w:rPr/>
      </w:pPr>
      <w:r>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pPr>
        <w:pStyle w:val="TextBody"/>
        <w:rPr/>
      </w:pPr>
      <w:r>
        <w:rPr/>
        <w:t>Установлены следующие гарантированные минимальные суммы выплат потерпевшему работнику или членам семьи в случае его смерти:</w:t>
      </w:r>
    </w:p>
    <w:p>
      <w:pPr>
        <w:pStyle w:val="TextBody"/>
        <w:numPr>
          <w:ilvl w:val="0"/>
          <w:numId w:val="12"/>
        </w:numPr>
        <w:tabs>
          <w:tab w:val="left" w:pos="0" w:leader="none"/>
        </w:tabs>
        <w:spacing w:before="0" w:after="0"/>
        <w:ind w:left="707" w:hanging="283"/>
        <w:rPr/>
      </w:pPr>
      <w:r>
        <w:rPr/>
        <w:t xml:space="preserve">при смертельном исходе – заработок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 группы инвалидности – 75%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II группы инвалидности – 50%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установлении III группы инвалидности – 30% от заработка работника за два года; </w:t>
      </w:r>
    </w:p>
    <w:p>
      <w:pPr>
        <w:pStyle w:val="TextBody"/>
        <w:numPr>
          <w:ilvl w:val="0"/>
          <w:numId w:val="12"/>
        </w:numPr>
        <w:tabs>
          <w:tab w:val="left" w:pos="0" w:leader="none"/>
        </w:tabs>
        <w:spacing w:before="0" w:after="0"/>
        <w:ind w:left="707" w:hanging="283"/>
        <w:rPr/>
      </w:pPr>
      <w:r>
        <w:rPr/>
        <w:t xml:space="preserve">при получении профессионального заболевания – 30% от заработка работника за два года; </w:t>
      </w:r>
    </w:p>
    <w:p>
      <w:pPr>
        <w:pStyle w:val="TextBody"/>
        <w:numPr>
          <w:ilvl w:val="0"/>
          <w:numId w:val="12"/>
        </w:numPr>
        <w:tabs>
          <w:tab w:val="left" w:pos="0" w:leader="none"/>
        </w:tabs>
        <w:ind w:left="707" w:hanging="283"/>
        <w:rPr/>
      </w:pPr>
      <w:r>
        <w:rPr/>
        <w:t xml:space="preserve">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w:t>
      </w:r>
    </w:p>
    <w:p>
      <w:pPr>
        <w:pStyle w:val="TextBody"/>
        <w:rPr/>
      </w:pPr>
      <w:r>
        <w:rP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pPr>
        <w:pStyle w:val="TextBody"/>
        <w:rPr/>
      </w:pPr>
      <w:r>
        <w:rPr/>
        <w:t>Средний дневной заработок для оплаты отпусков определяется на дату установления инвалидности в результате несчастного случая/профессионального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Правительства РФ от 24 декабря 2007 г. N 922 «Об особенностях порядка исчисления средней заработной платы»).</w:t>
      </w:r>
    </w:p>
    <w:p>
      <w:pPr>
        <w:pStyle w:val="TextBody"/>
        <w:rPr/>
      </w:pPr>
      <w:r>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pPr>
        <w:pStyle w:val="TextBody"/>
        <w:rPr/>
      </w:pPr>
      <w:r>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pPr>
        <w:pStyle w:val="TextBody"/>
        <w:rPr/>
      </w:pPr>
      <w:r>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pPr>
        <w:pStyle w:val="TextBody"/>
        <w:rPr/>
      </w:pPr>
      <w:r>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pPr>
        <w:pStyle w:val="TextBody"/>
        <w:rPr/>
      </w:pPr>
      <w:r>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pPr>
        <w:pStyle w:val="TextBody"/>
        <w:rPr/>
      </w:pPr>
      <w:r>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pPr>
        <w:pStyle w:val="TextBody"/>
        <w:rPr/>
      </w:pPr>
      <w:r>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pPr>
        <w:pStyle w:val="TextBody"/>
        <w:rPr/>
      </w:pPr>
      <w:r>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pPr>
        <w:pStyle w:val="TextBody"/>
        <w:rPr/>
      </w:pPr>
      <w:r>
        <w:rPr/>
        <w:t>Работодатели обеспечивают:</w:t>
      </w:r>
    </w:p>
    <w:p>
      <w:pPr>
        <w:pStyle w:val="TextBody"/>
        <w:rPr/>
      </w:pPr>
      <w:r>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pPr>
        <w:pStyle w:val="TextBody"/>
        <w:rPr/>
      </w:pPr>
      <w:r>
        <w:rPr/>
        <w:t>6.4. Своевременное и достоверное оформление сведений о стаже и заработной плате работников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pPr>
        <w:pStyle w:val="TextBody"/>
        <w:rPr/>
      </w:pPr>
      <w:r>
        <w:rPr/>
        <w:t>6.5. Деятельность создаваемых комиссий по социальному страхованию, в которые входят представители работодателя и выборного органа первичной (объединенной) профсоюзной организации предприятия, а также гласность при расходовании средств социального страхования.</w:t>
      </w:r>
    </w:p>
    <w:p>
      <w:pPr>
        <w:pStyle w:val="TextBody"/>
        <w:rPr/>
      </w:pPr>
      <w:r>
        <w:rPr/>
        <w:t>6.6. Выплату единовременного пособия при выходе работника на пенсию. Порядок выплаты и размер пособия закрепляются в коллективном договоре.</w:t>
      </w:r>
    </w:p>
    <w:p>
      <w:pPr>
        <w:pStyle w:val="TextBody"/>
        <w:rPr/>
      </w:pPr>
      <w:r>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pPr>
        <w:pStyle w:val="TextBody"/>
        <w:rPr/>
      </w:pPr>
      <w:r>
        <w:rPr/>
        <w:t>6.8. Выплату материальной помощи работнику при уходе в ежегодный основной отпуск, если это установлено в коллективном договоре.</w:t>
      </w:r>
    </w:p>
    <w:p>
      <w:pPr>
        <w:pStyle w:val="TextBody"/>
        <w:rPr/>
      </w:pPr>
      <w:r>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pPr>
        <w:pStyle w:val="TextBody"/>
        <w:rPr/>
      </w:pPr>
      <w:r>
        <w:rPr/>
        <w:t>6.10. Предоставление дополнительных оплачиваемых отпусков в случаях:</w:t>
      </w:r>
    </w:p>
    <w:p>
      <w:pPr>
        <w:pStyle w:val="TextBody"/>
        <w:numPr>
          <w:ilvl w:val="0"/>
          <w:numId w:val="13"/>
        </w:numPr>
        <w:tabs>
          <w:tab w:val="left" w:pos="0" w:leader="none"/>
        </w:tabs>
        <w:spacing w:before="0" w:after="0"/>
        <w:ind w:left="707" w:hanging="283"/>
        <w:rPr/>
      </w:pPr>
      <w:r>
        <w:rPr/>
        <w:t xml:space="preserve">рождения ребенка; </w:t>
      </w:r>
    </w:p>
    <w:p>
      <w:pPr>
        <w:pStyle w:val="TextBody"/>
        <w:numPr>
          <w:ilvl w:val="0"/>
          <w:numId w:val="13"/>
        </w:numPr>
        <w:tabs>
          <w:tab w:val="left" w:pos="0" w:leader="none"/>
        </w:tabs>
        <w:spacing w:before="0" w:after="0"/>
        <w:ind w:left="707" w:hanging="283"/>
        <w:rPr/>
      </w:pPr>
      <w:r>
        <w:rPr/>
        <w:t xml:space="preserve">регистрации брака работника; </w:t>
      </w:r>
    </w:p>
    <w:p>
      <w:pPr>
        <w:pStyle w:val="TextBody"/>
        <w:numPr>
          <w:ilvl w:val="0"/>
          <w:numId w:val="13"/>
        </w:numPr>
        <w:tabs>
          <w:tab w:val="left" w:pos="0" w:leader="none"/>
        </w:tabs>
        <w:spacing w:before="0" w:after="0"/>
        <w:ind w:left="707" w:hanging="283"/>
        <w:rPr/>
      </w:pPr>
      <w:r>
        <w:rPr/>
        <w:t xml:space="preserve">регистрации брака детей работника; </w:t>
      </w:r>
    </w:p>
    <w:p>
      <w:pPr>
        <w:pStyle w:val="TextBody"/>
        <w:numPr>
          <w:ilvl w:val="0"/>
          <w:numId w:val="13"/>
        </w:numPr>
        <w:tabs>
          <w:tab w:val="left" w:pos="0" w:leader="none"/>
        </w:tabs>
        <w:ind w:left="707" w:hanging="283"/>
        <w:rPr/>
      </w:pPr>
      <w:r>
        <w:rPr/>
        <w:t xml:space="preserve">смерти супругов, членов семьи (дети, родители, родители супругов, родные братья и сестры). </w:t>
      </w:r>
    </w:p>
    <w:p>
      <w:pPr>
        <w:pStyle w:val="TextBody"/>
        <w:rPr/>
      </w:pPr>
      <w:r>
        <w:rPr/>
        <w:t>Порядок, условия и продолжительность таких отпусков устанавливаются коллективным договором.</w:t>
      </w:r>
    </w:p>
    <w:p>
      <w:pPr>
        <w:pStyle w:val="TextBody"/>
        <w:rPr/>
      </w:pPr>
      <w:r>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pPr>
        <w:pStyle w:val="TextBody"/>
        <w:rPr/>
      </w:pPr>
      <w:r>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pPr>
        <w:pStyle w:val="TextBody"/>
        <w:rPr/>
      </w:pPr>
      <w:r>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pPr>
        <w:pStyle w:val="TextBody"/>
        <w:rPr/>
      </w:pPr>
      <w:r>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pPr>
        <w:pStyle w:val="TextBody"/>
        <w:rPr/>
      </w:pPr>
      <w:r>
        <w:rPr/>
        <w:t>6.15. Предоставление следующих социальных льгот работающим женщинам и другим лицам с семейными обязанностями.</w:t>
      </w:r>
    </w:p>
    <w:p>
      <w:pPr>
        <w:pStyle w:val="TextBody"/>
        <w:rPr/>
      </w:pPr>
      <w:r>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pPr>
        <w:pStyle w:val="TextBody"/>
        <w:rPr/>
      </w:pPr>
      <w:r>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6.15.4. Предоставление неполного рабочего дня или неполной рабочей недели по просьбе работника в соответствии с действующим законодательством.</w:t>
      </w:r>
    </w:p>
    <w:p>
      <w:pPr>
        <w:pStyle w:val="TextBody"/>
        <w:rPr/>
      </w:pPr>
      <w:r>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pPr>
        <w:pStyle w:val="TextBody"/>
        <w:rPr/>
      </w:pPr>
      <w:r>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pPr>
        <w:pStyle w:val="TextBody"/>
        <w:rPr/>
      </w:pPr>
      <w:r>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pPr>
        <w:pStyle w:val="TextBody"/>
        <w:numPr>
          <w:ilvl w:val="0"/>
          <w:numId w:val="14"/>
        </w:numPr>
        <w:tabs>
          <w:tab w:val="left" w:pos="0" w:leader="none"/>
        </w:tabs>
        <w:ind w:left="707" w:hanging="283"/>
        <w:rPr/>
      </w:pPr>
      <w:r>
        <w:rPr>
          <w:rStyle w:val="StrongEmphasis"/>
        </w:rPr>
        <w:t>ЗАНЯТОСТЬ РАБОТНИКОВ</w:t>
      </w:r>
      <w:r>
        <w:rPr/>
        <w:t xml:space="preserve"> </w:t>
      </w:r>
    </w:p>
    <w:p>
      <w:pPr>
        <w:pStyle w:val="TextBody"/>
        <w:rPr/>
      </w:pPr>
      <w:r>
        <w:rPr/>
        <w:t>7.1. Работодатели обеспечивают:</w:t>
      </w:r>
    </w:p>
    <w:p>
      <w:pPr>
        <w:pStyle w:val="TextBody"/>
        <w:rPr/>
      </w:pPr>
      <w:r>
        <w:rPr/>
        <w:t>7.1.1. Предоставление работы по специальности выпускникам учебных заведений, прибывшим в организации по их предварительным заявкам.</w:t>
      </w:r>
    </w:p>
    <w:p>
      <w:pPr>
        <w:pStyle w:val="TextBody"/>
        <w:rPr/>
      </w:pPr>
      <w:r>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pPr>
        <w:pStyle w:val="TextBody"/>
        <w:rPr/>
      </w:pPr>
      <w:r>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pPr>
        <w:pStyle w:val="TextBody"/>
        <w:rPr/>
      </w:pPr>
      <w:r>
        <w:rPr/>
        <w:t>7.1.4. Привлечение преимущественно временных работников в периоды подъема экономической конъюнктуры и необходимости увеличения объема производства.</w:t>
      </w:r>
    </w:p>
    <w:p>
      <w:pPr>
        <w:pStyle w:val="TextBody"/>
        <w:rPr/>
      </w:pPr>
      <w:r>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pPr>
        <w:pStyle w:val="TextBody"/>
        <w:rPr/>
      </w:pPr>
      <w:r>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pPr>
        <w:pStyle w:val="TextBody"/>
        <w:rPr/>
      </w:pPr>
      <w:r>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работников, числе и категориях работников, которых они могут коснуться, и сроке, в течение которого их намечено осуществить.</w:t>
      </w:r>
    </w:p>
    <w:p>
      <w:pPr>
        <w:pStyle w:val="TextBody"/>
        <w:rPr/>
      </w:pPr>
      <w:r>
        <w:rPr/>
        <w:t>При этом критериями массового увольнения работников при сокращении численности или штата организации являются:</w:t>
      </w:r>
    </w:p>
    <w:p>
      <w:pPr>
        <w:pStyle w:val="TextBody"/>
        <w:rPr/>
      </w:pPr>
      <w:r>
        <w:rPr/>
        <w:t>а) ликвидация организации с численностью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15"/>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15"/>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15"/>
        </w:numPr>
        <w:tabs>
          <w:tab w:val="left" w:pos="0" w:leader="none"/>
        </w:tabs>
        <w:spacing w:before="0" w:after="0"/>
        <w:ind w:left="707" w:hanging="283"/>
        <w:rPr/>
      </w:pPr>
      <w:r>
        <w:rPr/>
        <w:t xml:space="preserve">500 и более человек в течение 90 календарных дней; </w:t>
      </w:r>
    </w:p>
    <w:p>
      <w:pPr>
        <w:pStyle w:val="TextBody"/>
        <w:numPr>
          <w:ilvl w:val="0"/>
          <w:numId w:val="15"/>
        </w:numPr>
        <w:tabs>
          <w:tab w:val="left" w:pos="0" w:leader="none"/>
        </w:tabs>
        <w:ind w:left="707" w:hanging="283"/>
        <w:rPr/>
      </w:pPr>
      <w:r>
        <w:rPr/>
        <w:t xml:space="preserve">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 </w:t>
      </w:r>
    </w:p>
    <w:p>
      <w:pPr>
        <w:pStyle w:val="TextBody"/>
        <w:rPr/>
      </w:pPr>
      <w:r>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pPr>
        <w:pStyle w:val="TextBody"/>
        <w:rPr/>
      </w:pPr>
      <w:r>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pPr>
        <w:pStyle w:val="TextBody"/>
        <w:rPr/>
      </w:pPr>
      <w:r>
        <w:rPr/>
        <w:t>7.4. Работникам, предупрежденным о предстоящем высвобождении, увеличивается размер оплаты труда, в случае ее увеличения в целом по организации.</w:t>
      </w:r>
    </w:p>
    <w:p>
      <w:pPr>
        <w:pStyle w:val="TextBody"/>
        <w:rPr/>
      </w:pPr>
      <w:r>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pPr>
        <w:pStyle w:val="TextBody"/>
        <w:rPr/>
      </w:pPr>
      <w:r>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pPr>
        <w:pStyle w:val="TextBody"/>
        <w:rPr/>
      </w:pPr>
      <w:r>
        <w:rPr/>
        <w:t>7.5.2. Производится доплата к стипендии на период профессиональной подготовки (переподготовки) по направлению службы занятости.</w:t>
      </w:r>
    </w:p>
    <w:p>
      <w:pPr>
        <w:pStyle w:val="TextBody"/>
        <w:rPr/>
      </w:pPr>
      <w:r>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numPr>
          <w:ilvl w:val="0"/>
          <w:numId w:val="16"/>
        </w:numPr>
        <w:tabs>
          <w:tab w:val="left" w:pos="0" w:leader="none"/>
        </w:tabs>
        <w:ind w:left="707" w:hanging="283"/>
        <w:rPr/>
      </w:pPr>
      <w:r>
        <w:rPr>
          <w:rStyle w:val="StrongEmphasis"/>
        </w:rPr>
        <w:t>ЗАЩИТА ПРАВ РАБОТНИКОВ</w:t>
      </w:r>
      <w:r>
        <w:rPr/>
        <w:t xml:space="preserve"> </w:t>
      </w:r>
    </w:p>
    <w:p>
      <w:pPr>
        <w:pStyle w:val="TextBody"/>
        <w:rPr/>
      </w:pPr>
      <w:r>
        <w:rPr/>
        <w:t>8.1. Стороны исходят из того, что:</w:t>
      </w:r>
    </w:p>
    <w:p>
      <w:pPr>
        <w:pStyle w:val="TextBody"/>
        <w:rPr/>
      </w:pPr>
      <w:r>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pPr>
        <w:pStyle w:val="TextBody"/>
        <w:rPr/>
      </w:pPr>
      <w:r>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8.1.3. Правила внутреннего трудового распорядка утверждаются работодателем с учетом мнения выборного органа первичной (объединенной) профсоюзной организации.</w:t>
      </w:r>
    </w:p>
    <w:p>
      <w:pPr>
        <w:pStyle w:val="TextBody"/>
        <w:rPr/>
      </w:pPr>
      <w:r>
        <w:rPr/>
        <w:t>8.2. Работодатели:</w:t>
      </w:r>
    </w:p>
    <w:p>
      <w:pPr>
        <w:pStyle w:val="TextBody"/>
        <w:rPr/>
      </w:pPr>
      <w:r>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pPr>
        <w:pStyle w:val="TextBody"/>
        <w:rPr/>
      </w:pPr>
      <w:r>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pPr>
        <w:pStyle w:val="TextBody"/>
        <w:rPr/>
      </w:pPr>
      <w:r>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pPr>
        <w:pStyle w:val="TextBody"/>
        <w:numPr>
          <w:ilvl w:val="0"/>
          <w:numId w:val="17"/>
        </w:numPr>
        <w:tabs>
          <w:tab w:val="left" w:pos="0" w:leader="none"/>
        </w:tabs>
        <w:ind w:left="707" w:hanging="283"/>
        <w:rPr/>
      </w:pPr>
      <w:r>
        <w:rPr>
          <w:rStyle w:val="StrongEmphasis"/>
        </w:rPr>
        <w:t>ОХРАНА ТРУДА, ЗДОРОВЬЯ И ОКРУЖАЮЩЕЙ СРЕДЫ</w:t>
      </w:r>
      <w:r>
        <w:rPr/>
        <w:t xml:space="preserve"> </w:t>
      </w:r>
    </w:p>
    <w:p>
      <w:pPr>
        <w:pStyle w:val="TextBody"/>
        <w:rPr/>
      </w:pPr>
      <w:r>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pPr>
        <w:pStyle w:val="TextBody"/>
        <w:rPr/>
      </w:pPr>
      <w:r>
        <w:rPr/>
        <w:t>9.2. Стороны, в связи с реализацией международной программы устойчивого развития «Ответственная забота», а также «Здоровье 360»,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(www.ruschеmunion.ru, www.союзхимиков.рф) и на сайте Росхимпрофсоюза (www.chеmprof.ru).</w:t>
      </w:r>
    </w:p>
    <w:p>
      <w:pPr>
        <w:pStyle w:val="TextBody"/>
        <w:rPr/>
      </w:pPr>
      <w:r>
        <w:rPr/>
        <w:t>9.3. Работодатели:</w:t>
      </w:r>
    </w:p>
    <w:p>
      <w:pPr>
        <w:pStyle w:val="TextBody"/>
        <w:rPr/>
      </w:pPr>
      <w:r>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№7 «Об утверждении рекомендаций по организации работы кабинета охраны труда и уголка охраны труда».</w:t>
      </w:r>
    </w:p>
    <w:p>
      <w:pPr>
        <w:pStyle w:val="TextBody"/>
        <w:rPr/>
      </w:pPr>
      <w:r>
        <w:rPr/>
        <w:t>9.3.2. Разрабатывают и обеспечивают выполнение ежегодных планов мероприятий по созданию в организациях здоровых и безопасных условий труда и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уполномоченных (доверенных) лиц по охране труда Профсоюза</w:t>
      </w:r>
    </w:p>
    <w:p>
      <w:pPr>
        <w:pStyle w:val="TextBody"/>
        <w:rPr/>
      </w:pPr>
      <w:r>
        <w:rPr/>
        <w:t>9.3.3. Обеспечивают весь персонал организации информацией об опасных и вредных свойствах обращающихся веществ в процессе производства.</w:t>
      </w:r>
    </w:p>
    <w:p>
      <w:pPr>
        <w:pStyle w:val="TextBody"/>
        <w:rPr/>
      </w:pPr>
      <w:r>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комитеты (комиссии) по охране труда (Приказ Министерства труда и социальной защиты РФ от 24 июня 2014 г. N 412н).</w:t>
      </w:r>
    </w:p>
    <w:p>
      <w:pPr>
        <w:pStyle w:val="TextBody"/>
        <w:rPr/>
      </w:pPr>
      <w:r>
        <w:rPr/>
        <w:t>Финансируют работу комиссий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pPr>
        <w:pStyle w:val="TextBody"/>
        <w:rPr/>
      </w:pPr>
      <w:r>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«Лучшее уполномоченное (доверенное) лицо по охране труда Росхимпрофсоюза» с выделением необходимых средств для поощрения победителей.</w:t>
      </w:r>
    </w:p>
    <w:p>
      <w:pPr>
        <w:pStyle w:val="TextBody"/>
        <w:rPr/>
      </w:pPr>
      <w:r>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pPr>
        <w:pStyle w:val="TextBody"/>
        <w:rPr/>
      </w:pPr>
      <w:r>
        <w:rPr/>
        <w:t>9.3.8. Совместно с выборным органом первичной (объединенной)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pPr>
        <w:pStyle w:val="TextBody"/>
        <w:rPr/>
      </w:pPr>
      <w:r>
        <w:rPr/>
        <w:t>9.3.9. Организуют проведение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pPr>
        <w:pStyle w:val="TextBody"/>
        <w:rPr/>
      </w:pPr>
      <w:r>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pPr>
        <w:pStyle w:val="TextBody"/>
        <w:rPr/>
      </w:pPr>
      <w:r>
        <w:rPr/>
        <w:t>9.3.10. Обеспечивают за счет средств организаций (предприятий)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pPr>
        <w:pStyle w:val="TextBody"/>
        <w:rPr/>
      </w:pPr>
      <w:r>
        <w:rPr/>
        <w:t>9.3.11. Проводят за счет средств организации обязательное обучение и проверку знаний требований охраны труда в период работы работников, а в случаях, предусмотренных нормативными актами, – стажировку по охране труда на рабочих местах не реже, чем один раз в три года.</w:t>
      </w:r>
    </w:p>
    <w:p>
      <w:pPr>
        <w:pStyle w:val="TextBody"/>
        <w:rPr/>
      </w:pPr>
      <w:r>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pPr>
        <w:pStyle w:val="TextBody"/>
        <w:rPr/>
      </w:pPr>
      <w:r>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pPr>
        <w:pStyle w:val="TextBody"/>
        <w:rPr/>
      </w:pPr>
      <w:r>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pPr>
        <w:pStyle w:val="TextBody"/>
        <w:rPr/>
      </w:pPr>
      <w:r>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pPr>
        <w:pStyle w:val="TextBody"/>
        <w:rPr/>
      </w:pPr>
      <w:r>
        <w:rPr/>
        <w:t>9.3.15. Не применяют каких-либо мер дисциплинарного взыскания (в том числе не ограничивает в поощрениях за труд) и не преследуют работников, отказывающихся от выполнения работ в случаях возникновения опасности для их жизни и здоровья либо выполнения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pPr>
        <w:pStyle w:val="TextBody"/>
        <w:rPr/>
      </w:pPr>
      <w:r>
        <w:rPr/>
        <w:t>9.3.16. Обеспечивают своевременную бесплатную выдачу работникам сертифицированных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pPr>
        <w:pStyle w:val="TextBody"/>
        <w:rPr/>
      </w:pPr>
      <w:r>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TextBody"/>
        <w:rPr/>
      </w:pPr>
      <w:r>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pPr>
        <w:pStyle w:val="TextBody"/>
        <w:rPr/>
      </w:pPr>
      <w:r>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производственно-обусловленных заболеваний (при условии включения указанных мероприятий в коллективный договор).</w:t>
      </w:r>
    </w:p>
    <w:p>
      <w:pPr>
        <w:pStyle w:val="TextBody"/>
        <w:rPr/>
      </w:pPr>
      <w:r>
        <w:rPr/>
        <w:t>9.3.20. Принимают меры по медико-санитарному обслуживанию работников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pPr>
        <w:pStyle w:val="TextBody"/>
        <w:rPr/>
      </w:pPr>
      <w:r>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pPr>
        <w:pStyle w:val="TextBody"/>
        <w:rPr/>
      </w:pPr>
      <w:r>
        <w:rPr/>
        <w:t>9.4. Работодатели обязуются:</w:t>
      </w:r>
    </w:p>
    <w:p>
      <w:pPr>
        <w:pStyle w:val="TextBody"/>
        <w:rPr/>
      </w:pPr>
      <w:r>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pPr>
        <w:pStyle w:val="TextBody"/>
        <w:rPr/>
      </w:pPr>
      <w:r>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pPr>
        <w:pStyle w:val="TextBody"/>
        <w:rPr/>
      </w:pPr>
      <w:r>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pPr>
        <w:pStyle w:val="TextBody"/>
        <w:rPr/>
      </w:pPr>
      <w:r>
        <w:rPr/>
        <w:t>9.5. Профсоюзные органы обязуются:</w:t>
      </w:r>
    </w:p>
    <w:p>
      <w:pPr>
        <w:pStyle w:val="TextBody"/>
        <w:rPr/>
      </w:pPr>
      <w:r>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pPr>
        <w:pStyle w:val="TextBody"/>
        <w:rPr/>
      </w:pPr>
      <w:r>
        <w:rPr/>
        <w:t>9.5.2. Требовать от работодателя обязательного информирования работников о наличии вредных и опасных производственных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pPr>
        <w:pStyle w:val="TextBody"/>
        <w:rPr/>
      </w:pPr>
      <w:r>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pPr>
        <w:pStyle w:val="TextBody"/>
        <w:rPr/>
      </w:pPr>
      <w:r>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pPr>
        <w:pStyle w:val="TextBody"/>
        <w:rPr/>
      </w:pPr>
      <w:r>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pPr>
        <w:pStyle w:val="TextBody"/>
        <w:rPr/>
      </w:pPr>
      <w:r>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pPr>
        <w:pStyle w:val="TextBody"/>
        <w:rPr/>
      </w:pPr>
      <w:r>
        <w:rPr/>
        <w:t>9.5.7. В установленном законодательством РФ порядке согласовывать правила и инструкции по охране труда, контролировать их исполнение.</w:t>
      </w:r>
    </w:p>
    <w:p>
      <w:pPr>
        <w:pStyle w:val="TextBody"/>
        <w:rPr/>
      </w:pPr>
      <w:r>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pPr>
        <w:pStyle w:val="TextBody"/>
        <w:rPr/>
      </w:pPr>
      <w:r>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pPr>
        <w:pStyle w:val="TextBody"/>
        <w:numPr>
          <w:ilvl w:val="0"/>
          <w:numId w:val="18"/>
        </w:numPr>
        <w:tabs>
          <w:tab w:val="left" w:pos="0" w:leader="none"/>
        </w:tabs>
        <w:ind w:left="707" w:hanging="283"/>
        <w:rPr/>
      </w:pPr>
      <w:r>
        <w:rPr>
          <w:rStyle w:val="StrongEmphasis"/>
        </w:rPr>
        <w:t>РАБОТА С МОЛОДЕЖЬЮ</w:t>
      </w:r>
      <w:r>
        <w:rPr/>
        <w:t xml:space="preserve"> </w:t>
      </w:r>
    </w:p>
    <w:p>
      <w:pPr>
        <w:pStyle w:val="TextBody"/>
        <w:rPr/>
      </w:pPr>
      <w:r>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pPr>
        <w:pStyle w:val="TextBody"/>
        <w:rPr/>
      </w:pPr>
      <w:r>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pPr>
        <w:pStyle w:val="TextBody"/>
        <w:rPr/>
      </w:pPr>
      <w:r>
        <w:rPr/>
        <w:t>10.1.2. Разрабатывают комплексные программы по работе с молодежью и планы мероприятий по их реализации.</w:t>
      </w:r>
    </w:p>
    <w:p>
      <w:pPr>
        <w:pStyle w:val="TextBody"/>
        <w:rPr/>
      </w:pPr>
      <w:r>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pPr>
        <w:pStyle w:val="TextBody"/>
        <w:rPr/>
      </w:pPr>
      <w:r>
        <w:rPr/>
        <w:t>10.1.4. Проводят конкурсы профессионального мастерства среди молодых работников.</w:t>
      </w:r>
    </w:p>
    <w:p>
      <w:pPr>
        <w:pStyle w:val="TextBody"/>
        <w:rPr/>
      </w:pPr>
      <w:r>
        <w:rPr/>
        <w:t>10.1.5. Организуют и проводят массовые культурные и спортивно-оздоровительные мероприятия.</w:t>
      </w:r>
    </w:p>
    <w:p>
      <w:pPr>
        <w:pStyle w:val="TextBody"/>
        <w:rPr/>
      </w:pPr>
      <w:r>
        <w:rPr/>
        <w:t>10.1.6. Осуществляют моральное и материальное поощрение молодых работников, совмещающих эффективную производственную и общественную работу.</w:t>
      </w:r>
    </w:p>
    <w:p>
      <w:pPr>
        <w:pStyle w:val="TextBody"/>
        <w:rPr/>
      </w:pPr>
      <w:r>
        <w:rPr/>
        <w:t>10.2. Определяют и закрепляют в коллективном договоре или локальном нормативном акте организации порядок и условия предоставления:</w:t>
      </w:r>
    </w:p>
    <w:p>
      <w:pPr>
        <w:pStyle w:val="TextBody"/>
        <w:numPr>
          <w:ilvl w:val="0"/>
          <w:numId w:val="19"/>
        </w:numPr>
        <w:tabs>
          <w:tab w:val="left" w:pos="0" w:leader="none"/>
        </w:tabs>
        <w:spacing w:before="0" w:after="0"/>
        <w:ind w:left="707" w:hanging="283"/>
        <w:rPr/>
      </w:pPr>
      <w:r>
        <w:rPr/>
        <w:t xml:space="preserve">материальной помощи молодым работникам, возвратившимся на работу в организации после прохождения военной службы; </w:t>
      </w:r>
    </w:p>
    <w:p>
      <w:pPr>
        <w:pStyle w:val="TextBody"/>
        <w:numPr>
          <w:ilvl w:val="0"/>
          <w:numId w:val="19"/>
        </w:numPr>
        <w:tabs>
          <w:tab w:val="left" w:pos="0" w:leader="none"/>
        </w:tabs>
        <w:ind w:left="707" w:hanging="283"/>
        <w:rPr/>
      </w:pPr>
      <w:r>
        <w:rPr/>
        <w:t xml:space="preserve">льгот молодым работникам для получения профессионального образования в соответствии с действующим законодательством РФ. </w:t>
      </w:r>
    </w:p>
    <w:p>
      <w:pPr>
        <w:pStyle w:val="TextBody"/>
        <w:rPr/>
      </w:pPr>
      <w:r>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pPr>
        <w:pStyle w:val="TextBody"/>
        <w:numPr>
          <w:ilvl w:val="0"/>
          <w:numId w:val="20"/>
        </w:numPr>
        <w:tabs>
          <w:tab w:val="left" w:pos="0" w:leader="none"/>
        </w:tabs>
        <w:ind w:left="707" w:hanging="283"/>
        <w:rPr/>
      </w:pPr>
      <w:r>
        <w:rPr>
          <w:rStyle w:val="StrongEmphasis"/>
        </w:rPr>
        <w:t>ГАРАНТИИ ПРАВ ЧЛЕНОВ ПРОФСОЮЗА И ПРОФСОЮЗНЫХ ОРГАНОВ</w:t>
      </w:r>
      <w:r>
        <w:rPr/>
        <w:t xml:space="preserve"> </w:t>
      </w:r>
    </w:p>
    <w:p>
      <w:pPr>
        <w:pStyle w:val="TextBody"/>
        <w:rPr/>
      </w:pPr>
      <w:r>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pPr>
        <w:pStyle w:val="TextBody"/>
        <w:rPr/>
      </w:pPr>
      <w:r>
        <w:rPr/>
        <w:t>11.2. Профсоюз гарантирует право на представление и защиту интересов членов Профсоюза по социально-трудовым вопросам.</w:t>
      </w:r>
    </w:p>
    <w:p>
      <w:pPr>
        <w:pStyle w:val="TextBody"/>
        <w:rPr/>
      </w:pPr>
      <w:r>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pPr>
        <w:pStyle w:val="TextBody"/>
        <w:numPr>
          <w:ilvl w:val="0"/>
          <w:numId w:val="21"/>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21"/>
        </w:numPr>
        <w:tabs>
          <w:tab w:val="left" w:pos="0" w:leader="none"/>
        </w:tabs>
        <w:spacing w:before="0" w:after="0"/>
        <w:ind w:left="707" w:hanging="283"/>
        <w:rPr/>
      </w:pPr>
      <w:r>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pStyle w:val="TextBody"/>
        <w:numPr>
          <w:ilvl w:val="0"/>
          <w:numId w:val="21"/>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 п. 11.3. настоящего Соглашения основаниям,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11.5. Члены Профсоюза могут бесплатно:</w:t>
      </w:r>
    </w:p>
    <w:p>
      <w:pPr>
        <w:pStyle w:val="TextBody"/>
        <w:numPr>
          <w:ilvl w:val="0"/>
          <w:numId w:val="22"/>
        </w:numPr>
        <w:tabs>
          <w:tab w:val="left" w:pos="0" w:leader="none"/>
        </w:tabs>
        <w:spacing w:before="0" w:after="0"/>
        <w:ind w:left="707" w:hanging="283"/>
        <w:rPr/>
      </w:pPr>
      <w:r>
        <w:rPr/>
        <w:t xml:space="preserve">получать консультацию и юридическую помощь по всем вопросам, связанным с трудовыми правоотношениями; </w:t>
      </w:r>
    </w:p>
    <w:p>
      <w:pPr>
        <w:pStyle w:val="TextBody"/>
        <w:numPr>
          <w:ilvl w:val="0"/>
          <w:numId w:val="22"/>
        </w:numPr>
        <w:tabs>
          <w:tab w:val="left" w:pos="0" w:leader="none"/>
        </w:tabs>
        <w:ind w:left="707" w:hanging="283"/>
        <w:rPr/>
      </w:pPr>
      <w:r>
        <w:rPr/>
        <w:t xml:space="preserve">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 </w:t>
      </w:r>
    </w:p>
    <w:p>
      <w:pPr>
        <w:pStyle w:val="TextBody"/>
        <w:rPr/>
      </w:pPr>
      <w:r>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pPr>
        <w:pStyle w:val="TextBody"/>
        <w:rPr/>
      </w:pPr>
      <w:r>
        <w:rPr/>
        <w:t>11.7. Работодатели:</w:t>
      </w:r>
    </w:p>
    <w:p>
      <w:pPr>
        <w:pStyle w:val="TextBody"/>
        <w:rPr/>
      </w:pPr>
      <w:r>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pPr>
        <w:pStyle w:val="TextBody"/>
        <w:rPr/>
      </w:pPr>
      <w:r>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pPr>
        <w:pStyle w:val="TextBody"/>
        <w:rPr/>
      </w:pPr>
      <w:r>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pPr>
        <w:pStyle w:val="TextBody"/>
        <w:rPr/>
      </w:pPr>
      <w:r>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pPr>
        <w:pStyle w:val="TextBody"/>
        <w:rPr/>
      </w:pPr>
      <w:r>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pPr>
        <w:pStyle w:val="TextBody"/>
        <w:rPr/>
      </w:pPr>
      <w:r>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pPr>
        <w:pStyle w:val="TextBody"/>
        <w:rPr/>
      </w:pPr>
      <w:r>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pPr>
        <w:pStyle w:val="TextBody"/>
        <w:numPr>
          <w:ilvl w:val="0"/>
          <w:numId w:val="23"/>
        </w:numPr>
        <w:tabs>
          <w:tab w:val="left" w:pos="0" w:leader="none"/>
        </w:tabs>
        <w:ind w:left="707" w:hanging="283"/>
        <w:rPr/>
      </w:pPr>
      <w:r>
        <w:rPr>
          <w:rStyle w:val="StrongEmphasis"/>
        </w:rPr>
        <w:t>ОБЕСПЕЧЕНИЕ КОНТРОЛЯ ЗА ВЫПОЛНЕНИЕМ СОГЛАШЕНИЯ И ОТВЕТСТВЕННОСТЬ СТОРОН ЗА НЕВЫПОЛНЕНИЕ ПРИНЯТЫХ ОБЯЗАТЕЛЬСТВ</w:t>
      </w:r>
      <w:r>
        <w:rPr/>
        <w:t xml:space="preserve"> </w:t>
      </w:r>
    </w:p>
    <w:p>
      <w:pPr>
        <w:pStyle w:val="TextBody"/>
        <w:rPr/>
      </w:pPr>
      <w:r>
        <w:rPr/>
        <w:t>12.1. Контроль за выполнением данного Соглашения осуществляет:</w:t>
      </w:r>
    </w:p>
    <w:p>
      <w:pPr>
        <w:pStyle w:val="TextBody"/>
        <w:numPr>
          <w:ilvl w:val="0"/>
          <w:numId w:val="24"/>
        </w:numPr>
        <w:tabs>
          <w:tab w:val="left" w:pos="0" w:leader="none"/>
        </w:tabs>
        <w:spacing w:before="0" w:after="0"/>
        <w:ind w:left="707" w:hanging="283"/>
        <w:rPr/>
      </w:pPr>
      <w:r>
        <w:rPr/>
        <w:t xml:space="preserve">на федеральном уровне – постоянно действующая комиссия Союза и Росхимпрофсоюза; </w:t>
      </w:r>
    </w:p>
    <w:p>
      <w:pPr>
        <w:pStyle w:val="TextBody"/>
        <w:numPr>
          <w:ilvl w:val="0"/>
          <w:numId w:val="24"/>
        </w:numPr>
        <w:tabs>
          <w:tab w:val="left" w:pos="0" w:leader="none"/>
        </w:tabs>
        <w:ind w:left="707" w:hanging="283"/>
        <w:rPr/>
      </w:pPr>
      <w:r>
        <w:rPr/>
        <w:t xml:space="preserve">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 </w:t>
      </w:r>
    </w:p>
    <w:p>
      <w:pPr>
        <w:pStyle w:val="TextBody"/>
        <w:rPr/>
      </w:pPr>
      <w:r>
        <w:rPr/>
        <w:t>12.2. Договаривающиеся стороны обязуются:</w:t>
      </w:r>
    </w:p>
    <w:p>
      <w:pPr>
        <w:pStyle w:val="TextBody"/>
        <w:numPr>
          <w:ilvl w:val="0"/>
          <w:numId w:val="25"/>
        </w:numPr>
        <w:tabs>
          <w:tab w:val="left" w:pos="0" w:leader="none"/>
        </w:tabs>
        <w:spacing w:before="0" w:after="0"/>
        <w:ind w:left="707" w:hanging="283"/>
        <w:rPr/>
      </w:pPr>
      <w:r>
        <w:rPr/>
        <w:t xml:space="preserve">осуществлять проверку и рассмотрение на совместных заседаниях сторон хода выполнения настоящего Соглашения до истечения срока его действия; </w:t>
      </w:r>
    </w:p>
    <w:p>
      <w:pPr>
        <w:pStyle w:val="TextBody"/>
        <w:numPr>
          <w:ilvl w:val="0"/>
          <w:numId w:val="25"/>
        </w:numPr>
        <w:tabs>
          <w:tab w:val="left" w:pos="0" w:leader="none"/>
        </w:tabs>
        <w:ind w:left="707" w:hanging="283"/>
        <w:rPr/>
      </w:pPr>
      <w:r>
        <w:rPr/>
        <w:t xml:space="preserve">взаимно предоставлять необходимую информацию в целях осуществления контроля за выполнением Соглашения. </w:t>
      </w:r>
    </w:p>
    <w:p>
      <w:pPr>
        <w:pStyle w:val="TextBody"/>
        <w:rPr/>
      </w:pPr>
      <w:r>
        <w:rPr/>
        <w:t>12.3. Лица, виновные в нарушении или невыполнении обязательств Соглашения и в непредоставлении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pPr>
        <w:pStyle w:val="TextBody"/>
        <w:rPr/>
      </w:pPr>
      <w:r>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t>В случае отказа устранить эти нарушения, разногласия рассматриваются в соответствии с действующим законодательством.</w:t>
      </w:r>
    </w:p>
    <w:p>
      <w:pPr>
        <w:pStyle w:val="TextBody"/>
        <w:spacing w:before="0" w:after="283"/>
        <w:rPr/>
      </w:pPr>
      <w:r>
        <w:rPr/>
        <w:t>12.5. Настоящее Соглашение составлено и подписано в 2-х экземплярах, каждый из которых имеет одинаковую юридическую силу.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