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81н от 12 февраля 2019 г.</w:t>
      </w:r>
    </w:p>
    <w:p>
      <w:pPr>
        <w:pStyle w:val="Heading2"/>
        <w:rPr/>
      </w:pPr>
      <w:r>
        <w:rPr/>
        <w:t>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11 декабря 2003 г. № 750 «Об организации альтернативной гражданской службы» (Собрание законодательства Российской Федерации, 2003, № 51, ст. 4984; 2005, № 32, ст. 3302; 2010, № 2, ст. 200; 2013, № 13, ст. 1559)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  видов  работ,  профессий,  должностей,  на  которых  могут быть заняты граждане, проходящие альтернативную гражданскую службу, согласно приложению № 1;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перечень организаций, где предусматривается прохождение альтернативной гражданской службы, согласно приложению № 2.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 приказ  Министерства труда и социальной защиты Российской Федерации от 15 февраля 2016 г. № 61н «Об 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и признании утратившим силу приказа Министерства труда и социальной защиты Российской Федерации от 6 февраля 2013 г. № 45н «Об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и признании утратившим силу приказа Минздравсоцразвития России от 15 февраля 2010 г. № 84н «Об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службы» (зарегистрирован Министерством юстиции Российской Федерации 24 марта 2016 г., регистрационный № 41534).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