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Отчеты некоммерческих организаций за II квартал 2018 года</w:t>
      </w:r>
    </w:p>
    <w:p>
      <w:pPr>
        <w:pStyle w:val="Heading2"/>
        <w:rPr/>
      </w:pPr>
      <w:r>
        <w:rPr/>
        <w:t xml:space="preserve">о расходах, источником финансового обеспечения которых являются субсидии из федерального бюджета </w:t>
      </w:r>
    </w:p>
    <w:p>
      <w:pPr>
        <w:pStyle w:val="TextBody"/>
        <w:spacing w:before="0" w:after="283"/>
        <w:rPr/>
      </w:pPr>
      <w:r>
        <w:rPr/>
        <w:t>(В рамках исполнения пункта 7 Правил предоставления субсидий из федерального бюджета на государственную поддержку отдельных общественных и иных некоммерческих организаций, утвержденных постановлением Правительства РФ от 27 декабря 2010 г. № 1135)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