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420 от 20 июня 2019 г.</w:t>
      </w:r>
    </w:p>
    <w:p>
      <w:pPr>
        <w:pStyle w:val="Heading2"/>
        <w:rPr/>
      </w:pPr>
      <w:r>
        <w:rPr/>
        <w:t>Об утверждении детального плана-графика реализации государственной программы Российской Федерации «Социальная поддержка граждан» на 2019 год и на плановый период 2020 и 2021 годов»</w:t>
      </w:r>
    </w:p>
    <w:p>
      <w:pPr>
        <w:pStyle w:val="TextBody"/>
        <w:rPr/>
      </w:pPr>
      <w:r>
        <w:rPr/>
        <w:t>В соответствии с пунктом 30</w:t>
      </w:r>
      <w:r>
        <w:rPr>
          <w:position w:val="8"/>
          <w:sz w:val="19"/>
        </w:rPr>
        <w:t xml:space="preserve">1 </w:t>
      </w:r>
      <w:r>
        <w:rPr/>
        <w:t>Порядка разработки, реализации и оценки эффективности государственных программ Российской Федерации, утвержденного постановлением Правительства Российской Федерации от 2 августа 2010 г. № 588, п р и к а з ы в а ю: 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детальный план-график реализации государственной программы Российской Федерации «Социальная поддержка граждан» на 2019 год и на плановый период 2020 и 2021 годов.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19 апреля 2018 г. № 267 «Об утверждении детального плана-графика реализации государственной программы Российской Федерации «Социальная поддержка граждан» на 2018 год и на плановый период 2019 и 2020 годов». 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