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16 от 25 декабря 2019 г.</w:t>
      </w:r>
    </w:p>
    <w:p>
      <w:pPr>
        <w:pStyle w:val="Heading2"/>
        <w:rPr/>
      </w:pPr>
      <w:r>
        <w:rPr/>
        <w:t>Протокол № 16 заседания Межведомственной комиссии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96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35"/>
        <w:gridCol w:w="6065"/>
      </w:tblGrid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Кирсанов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Владимирович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директор Департамента занятости населения Минтруда России (заместитель председателя)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Мыльников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Александрович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Тогочиев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Данзан Владимирович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главный специалист-эксперт отдела трудовой миграции Департамента занятости населения Минтруда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Парфенцева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Александровна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экономических аспектов демографической политики Департамента социального развития Минэкономразвития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Чистова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Афанасьевна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реализации мер активной политики занятости Управления планирования, взаимодействия с регионами и контроля Роструда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Коденко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Сергеевич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инспектор по особым поручениям отдела обеспечения межведомственного взаимодействия по вопросам внешней трудовой миграции Управления внешней трудовой миграции ГУВМ МВД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Ковалева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Александровна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руководителя агентства по труду и занятости населения Сахалинской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Дуленова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Анатольевна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занятости населения Амурской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Виноградов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Константин Иванович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 комитета по труду и занятости населения Правительства Хабаровского края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Москвитин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Степан Иванович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 Государственного комитета Республики Саха (Якутия) по занятости населения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Шаманина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Викторовна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и.о. начальника Департамента труда и занятости населения Томской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Варнавская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Павловна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труда и социального развития Омской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Мурашкин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Леонидович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начальника департамента труда и занятости населения Кемеровской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Смирнов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Владислав Валентинович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Главного управления по труду и занятости населения Челябинской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Ведрова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Ивановна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занятости Департамента труда и занятости населения Тюменской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Макурин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Валентинович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директора Департамента по труду и занятости населения Свердловской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Захарова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Викторовна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содействия занятости населения и ведения регистров получателей государственных услуг Министерства труда, социальной защиты и демографии Пензенской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Алехина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Александровна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по труду и занятости министерства социальной политики Нижегородской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Суворов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Викторович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проектов и программ управления в сфере содействия занятости Министерства социального развития Пермского края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Леконцева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Ксения Равилевна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сектора трудовой миграции управления развития трудовых ресурсов, миграции и занятости населения Министерства социальной политики и труда Удмуртской Республики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Аюпов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Азат Фагимович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трудовой миграции и взаимодействия с работодателями Министерства труда, занятости и социальной защиты Республики Татарстан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Шайхисламов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Фанур Рафисович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семьи, труда и социальной защиты населения Республики Башкортостан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Лимаренко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Юрьевна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начальника отдела трудовой миграции управления по миграционным вопросам администрации Краснодарского края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Маминова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Борисовна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социального развития, труда и занятости Республика Калмыкия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Рогачев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Александрович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врио председателя Комитета по труду и занятости населения Санкт-Петербурга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Мервинская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Виктория Петровна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одела труда и социального партнёрства департамента труда и социальной защиты населения Новгородской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Черкасова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Владимировна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и.о. начальника отдела трудовой миграции и профориентации населения Комитета по труду и занятости населения Мурманской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Мокей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Викторовна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директор Государственного казенного учреждения Ленинградской области «Агентство трудовых ресурсов»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Ильюшина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Михайловна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директор департамента труда и занятости населения министерства труда и социальной защиты Тульской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Юханов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Евгеньевич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развития трудовых ресурсов и охраны труда Министерства социального развития Московской области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 xml:space="preserve">О рассмотрении потребности Амурской, Кемеровской, Ленинградской, Московской, Мурманской, Нижегородской, Новгородской, Омской, Пензенской, Сахалинской, Свердловской, Томской, Тульской, Тюменской, Челябинской областей, Краснодарского, Пермского, Хабаровского краев, Кабардино-Балкарской и Удмуртской Республик, Республик Башкортостан, Калмыкия, Саха (Якутия), Татарстан, города Санкт-Петербурга в привлечении иностранных работников, прибывающих в Российскую Федерацию на основании визы, в том числе увеличении (уменьшении) размера потребности в привлечении иностранных работников на 2020 год </w:t>
      </w:r>
    </w:p>
    <w:p>
      <w:pPr>
        <w:pStyle w:val="TextBody"/>
        <w:rPr/>
      </w:pPr>
      <w:r>
        <w:rPr/>
        <w:t>(Ковалева, Дуленова, Виноградов, Москвитин, Шаманина, Варнавская, Мурашкин, Смирнов, Ведрова, Макурин, Захарова, Алехина, Суворов, Леконцева, Аюпов, Шайхисламов, Лимаренко, Маминова, Рогачев, Мервинская, Черкасова, Мокей, Сычев, Ильюшина, Юханов, Чистова, Тарасенкова, Тогочиев, Мыльников, Кирсанов)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Органам исполнительной власти субъектов Российской Федерации при проведении межведомственных комиссий субъекта Российской Федерации по вопросам привлечения и использования иностранных работников и направлении в Минтруд России предложений о потребности в привлечении иностранных работников, в том числе увеличении размера потребности в привлечении иностранных работников, обратить внимание: </w:t>
      </w:r>
    </w:p>
    <w:p>
      <w:pPr>
        <w:pStyle w:val="TextBody"/>
        <w:rPr/>
      </w:pPr>
      <w:r>
        <w:rPr/>
        <w:t>на низкий процент исчерпания квоты в 2019 году (по данным МВД России по итогам 11 месяцев 2019 года процент исчерпания составляет 42,6%);</w:t>
      </w:r>
    </w:p>
    <w:p>
      <w:pPr>
        <w:pStyle w:val="TextBody"/>
        <w:rPr/>
      </w:pPr>
      <w:r>
        <w:rPr/>
        <w:t>на достоверность информации указываемой в заявках работодателей о потребности в привлечении иностранных работников о наличии вакансий в регистре получателей государственных услуг в сфере содействия занятости населения.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Амурской области (от 28 ноября 2019 года № 01-4-6217)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607 разрешений на работу и 607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Кемеровской области - Кузбасса (от 30 октября 2019 года № И15-49/8994)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152 разрешений на работу и 152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Ленинградской области (от 13 декабря 2019 года № 4-5883/2019)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1048 разрешений на работу и 1048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Государственному казенному учреждению Ленинградской области «Агентство трудовых ресурсов» до 20 января 2020 года представить в Минтруд России информацию о причинах привлечения иностранных граждан, в том числе граждан Туркменистана, работодателями, заказчиками работ (услуг), осуществляющими свою деятельность в сфере строительства судов.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Московской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6 ноября 2019 года № Исх-22001/02-01)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404 разрешений на работу и 404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4 декабря 2019 года № Исх-24182/02-01)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715 разрешений на работу и 715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Мурманской области (от 28 октября 2019 года № 01/3685-АЧ)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2453 разрешений на работу и 2453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Комитету по труду и занятости населения Мурманской области обратить внимание на неудовлетворительное планирование потребности в привлечении иностранных работников, прибывающих в Российскую Федерацию на основании визы, на 2020 год.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Нижегородской области (от 21 ноября 2019 года № Исх-001-349409/19)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403 разрешений на работу и 403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Новгородской области (от 9 октября 2019 года № ПО-06-2/4104-И)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90 разрешений на работу и 90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Омской области (от 21 октября 2019 года № ИСХ-19/ГБ-1644/01)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1642 разрешений на работу и 1642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Пензенской области (от 21 ноября 2019 года № 1/9/2400)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100 разрешений на работу и 100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Сахалинской области (от 7 ноября 2019 года № 1.2-6342/19)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61 разрешения на работу и 61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Свердловской области (от 9 декабря 2019 года № 01-01-57/16309)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359 разрешений на работу и 359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Томской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24 октября 2019 года № СЖ-27-2203)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141 разрешения на работу и 141 приглашения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24 декабря 2019 года № СЖ-27-2461)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29 разрешений на работу и 29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Тульской области (от 10 декабря 2019 года № 55к-2/1933)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1385 разрешений на работу и 1385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Тюменской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28 ноября 2019 года № 21/7487-19)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56 разрешений на работу и 56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28 ноября 2019 года № 21/7487-19) о потребности в привлечении иностранных работников, в том числе уменьшении размера потребности в привлечении иностранных работников на 2020 год, в количестве 15 разрешений на работу и 15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Челябинской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11 октября 2019 года № 03/6718)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128 разрешений на работу и 128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28 ноября 2019 года № 03/7706)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34 разрешений на работу и 34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Краснодарского края приняты решения: </w:t>
      </w:r>
    </w:p>
    <w:p>
      <w:pPr>
        <w:pStyle w:val="TextBody"/>
        <w:rPr/>
      </w:pPr>
      <w:r>
        <w:rPr/>
        <w:t>одобрить в полном объеме предложения (от 30 сентября 2019 года № 02-09-651/19)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139 разрешений на работу и 139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11 ноября 2019 года № 02-09-833/19)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20 разрешений на работу и 20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19 ноября 2019 года № 02-09-865/19)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7 разрешений на работу и 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Управлению по миграционным вопросам администрации Краснодарского края обратить внимание на низкий процент исчерпания квоты в 2019 году.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Пермского края (от 11 декабря 2019 года № СЭД-01-67-5334)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75 разрешений на работу и 75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Хабаровского края (от 5 декабря 2019 года № 12.3.37-25636)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166 разрешений на работу и 166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Кабардино-Балкарской Республики (от 25 ноября 2019 года № 20-2/1-6666)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1 разрешения на работу и 1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Удмуртской Республики приняты решения: </w:t>
      </w:r>
    </w:p>
    <w:p>
      <w:pPr>
        <w:pStyle w:val="TextBody"/>
        <w:rPr/>
      </w:pPr>
      <w:r>
        <w:rPr/>
        <w:t>одобрить в полном объеме предложения (от 12 сентября 2019 года № 1-411/1531)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2 разрешений на работу и 2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10 декабря 2019 года № 1-411/2112)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8 разрешений на работу и 8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Башкортостан (от 27 ноября 2019 года № 1-1-1485-П)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64 разрешений на работу и 64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Саха (Якутия) (от 29 ноября 2019 года № 1540-А1)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182 разрешений на работу и 182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Республики Татарстан (от 29 ноября 2019 года № 25-51/14823)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1797 разрешений на работу и 1797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Министерству труда, занятости и социальной защиты Республики Татарстан обратить внимание на неудовлетворительное планирование потребности в привлечении иностранных работников, прибывающих в Российскую Федерацию на основании визы, на 2020 год и на низкий процент исчерпания квоты в 2019 году.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Калмыкия (от 13 ноября 2019 года № 002/ЮЗ-13-13-2010)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1 разрешения на работу и 1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города Санкт-Петербурга (от 5 ноября 2019 года № 10-16-5851/19-0-1) о потребности в привлечении иностранных работников, в том числе увеличении размера потребности в привлечении иностранных работников на 2020 год, в количестве 1781 разрешения на работу и 1781 приглашения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>
          <w:rStyle w:val="StrongEmphasis"/>
        </w:rPr>
        <w:t>Первый заместитель Министра труда и социальной защиты Российской Федерации, председатель комиссии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7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8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2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1">
    <w:lvl w:ilvl="0">
      <w:start w:val="2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