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663н от 9 октября 2019 г.</w:t>
      </w:r>
    </w:p>
    <w:p>
      <w:pPr>
        <w:pStyle w:val="Heading2"/>
        <w:rPr/>
      </w:pPr>
      <w:r>
        <w:rPr/>
        <w:t xml:space="preserve">О внесении изменения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№ 27н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 пункте 3 Правил определения органами государственной власти субъекта Российской Федерации потребности в привлечении иностранных работников, утвержденных приказом Министерства труда и социальной защиты Российской Федерации от 23 января 2014 г.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 (зарегистрирован Министерством юстиции Российской Федерации 7 марта 2014 г., регистрационный № 31536), слова «(за исключением физических лиц, привлекающих иностранных работников для личных, домашних и иных подобных нужд, не связанных с осуществлением предпринимательской деятельности)» исключить.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