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Методические рекомендации </w:t>
      </w:r>
    </w:p>
    <w:p>
      <w:pPr>
        <w:pStyle w:val="Heading2"/>
        <w:rPr/>
      </w:pPr>
      <w:r>
        <w:rPr/>
        <w:t>Методические рекомендации по режиму труда органов государственной власти, органов местного самоуправления и организаций с участием государства</w:t>
      </w:r>
    </w:p>
    <w:p>
      <w:pPr>
        <w:pStyle w:val="TextBody"/>
        <w:rPr/>
      </w:pPr>
      <w:r>
        <w:rPr>
          <w:rStyle w:val="StrongEmphasis"/>
        </w:rPr>
        <w:t>I. Общие положения</w:t>
      </w:r>
    </w:p>
    <w:p>
      <w:pPr>
        <w:pStyle w:val="TextBody"/>
        <w:rPr/>
      </w:pPr>
      <w:r>
        <w:rPr/>
        <w:t>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коронавирусной инфекции (2019-nCoV).</w:t>
      </w:r>
    </w:p>
    <w:p>
      <w:pPr>
        <w:pStyle w:val="TextBody"/>
        <w:rPr/>
      </w:pPr>
      <w:r>
        <w:rPr/>
        <w:t>1.2.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 </w:t>
      </w:r>
    </w:p>
    <w:p>
      <w:pPr>
        <w:pStyle w:val="TextBody"/>
        <w:rPr/>
      </w:pPr>
      <w:r>
        <w:rPr>
          <w:rStyle w:val="StrongEmphasis"/>
        </w:rPr>
        <w:t>II. Рекомендации органам и организациям</w:t>
      </w:r>
      <w:r>
        <w:rPr/>
        <w:t> </w:t>
      </w:r>
    </w:p>
    <w:p>
      <w:pPr>
        <w:pStyle w:val="TextBody"/>
        <w:rPr/>
      </w:pPr>
      <w:r>
        <w:rPr/>
        <w:t>2.1. Органам и организациям рекомендуется:</w:t>
      </w:r>
    </w:p>
    <w:p>
      <w:pPr>
        <w:pStyle w:val="TextBody"/>
        <w:numPr>
          <w:ilvl w:val="0"/>
          <w:numId w:val="1"/>
        </w:numPr>
        <w:tabs>
          <w:tab w:val="left" w:pos="0" w:leader="none"/>
        </w:tabs>
        <w:spacing w:before="0" w:after="0"/>
        <w:ind w:left="707" w:hanging="283"/>
        <w:rPr/>
      </w:pPr>
      <w:r>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коронавирусной инфекции (2019-nCoV), если они не вызваны крайней необходимостью; </w:t>
      </w:r>
    </w:p>
    <w:p>
      <w:pPr>
        <w:pStyle w:val="TextBody"/>
        <w:numPr>
          <w:ilvl w:val="0"/>
          <w:numId w:val="1"/>
        </w:numPr>
        <w:tabs>
          <w:tab w:val="left" w:pos="0" w:leader="none"/>
        </w:tabs>
        <w:spacing w:before="0" w:after="0"/>
        <w:ind w:left="707" w:hanging="283"/>
        <w:rPr/>
      </w:pPr>
      <w:r>
        <w:rPr/>
        <w:t xml:space="preserve">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видеоформате или без участников, допуская возможность проведения только чрезвычайно важных и неотложных мероприятий; </w:t>
      </w:r>
    </w:p>
    <w:p>
      <w:pPr>
        <w:pStyle w:val="TextBody"/>
        <w:numPr>
          <w:ilvl w:val="0"/>
          <w:numId w:val="1"/>
        </w:numPr>
        <w:tabs>
          <w:tab w:val="left" w:pos="0" w:leader="none"/>
        </w:tabs>
        <w:spacing w:before="0" w:after="0"/>
        <w:ind w:left="707" w:hanging="283"/>
        <w:rPr/>
      </w:pPr>
      <w:r>
        <w:rPr/>
        <w:t xml:space="preserve">временно ограничить личный прием граждан, пришедшим на личный прием, рекомендовать обращаться в письменной форме, разместить данную информацию на стендах, официальных сайтах; </w:t>
      </w:r>
    </w:p>
    <w:p>
      <w:pPr>
        <w:pStyle w:val="TextBody"/>
        <w:numPr>
          <w:ilvl w:val="0"/>
          <w:numId w:val="1"/>
        </w:numPr>
        <w:tabs>
          <w:tab w:val="left" w:pos="0" w:leader="none"/>
        </w:tabs>
        <w:spacing w:before="0" w:after="0"/>
        <w:ind w:left="707" w:hanging="283"/>
        <w:rPr/>
      </w:pPr>
      <w:r>
        <w:rPr/>
        <w:t xml:space="preserve">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 </w:t>
      </w:r>
    </w:p>
    <w:p>
      <w:pPr>
        <w:pStyle w:val="TextBody"/>
        <w:numPr>
          <w:ilvl w:val="0"/>
          <w:numId w:val="1"/>
        </w:numPr>
        <w:tabs>
          <w:tab w:val="left" w:pos="0" w:leader="none"/>
        </w:tabs>
        <w:spacing w:before="0" w:after="0"/>
        <w:ind w:left="707" w:hanging="283"/>
        <w:rPr/>
      </w:pPr>
      <w:r>
        <w:rPr/>
        <w:t xml:space="preserve">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 </w:t>
      </w:r>
    </w:p>
    <w:p>
      <w:pPr>
        <w:pStyle w:val="TextBody"/>
        <w:numPr>
          <w:ilvl w:val="0"/>
          <w:numId w:val="1"/>
        </w:numPr>
        <w:tabs>
          <w:tab w:val="left" w:pos="0" w:leader="none"/>
        </w:tabs>
        <w:spacing w:before="0" w:after="0"/>
        <w:ind w:left="707" w:hanging="283"/>
        <w:rPr/>
      </w:pPr>
      <w:r>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 чья профессиональная деятельность не связана с исполнением  функций  органа и организации; </w:t>
      </w:r>
    </w:p>
    <w:p>
      <w:pPr>
        <w:pStyle w:val="TextBody"/>
        <w:numPr>
          <w:ilvl w:val="0"/>
          <w:numId w:val="1"/>
        </w:numPr>
        <w:tabs>
          <w:tab w:val="left" w:pos="0" w:leader="none"/>
        </w:tabs>
        <w:spacing w:before="0" w:after="0"/>
        <w:ind w:left="707" w:hanging="283"/>
        <w:rPr/>
      </w:pPr>
      <w:r>
        <w:rPr/>
        <w:t xml:space="preserve">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 </w:t>
      </w:r>
    </w:p>
    <w:p>
      <w:pPr>
        <w:pStyle w:val="TextBody"/>
        <w:numPr>
          <w:ilvl w:val="0"/>
          <w:numId w:val="1"/>
        </w:numPr>
        <w:tabs>
          <w:tab w:val="left" w:pos="0" w:leader="none"/>
        </w:tabs>
        <w:spacing w:before="0" w:after="0"/>
        <w:ind w:left="707" w:hanging="283"/>
        <w:rPr/>
      </w:pPr>
      <w:r>
        <w:rPr/>
        <w:t xml:space="preserve">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 </w:t>
      </w:r>
    </w:p>
    <w:p>
      <w:pPr>
        <w:pStyle w:val="TextBody"/>
        <w:numPr>
          <w:ilvl w:val="0"/>
          <w:numId w:val="1"/>
        </w:numPr>
        <w:tabs>
          <w:tab w:val="left" w:pos="0" w:leader="none"/>
        </w:tabs>
        <w:spacing w:before="0" w:after="0"/>
        <w:ind w:left="707" w:hanging="283"/>
        <w:rPr/>
      </w:pPr>
      <w:r>
        <w:rPr/>
        <w:t xml:space="preserve">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 </w:t>
      </w:r>
    </w:p>
    <w:p>
      <w:pPr>
        <w:pStyle w:val="TextBody"/>
        <w:numPr>
          <w:ilvl w:val="0"/>
          <w:numId w:val="1"/>
        </w:numPr>
        <w:tabs>
          <w:tab w:val="left" w:pos="0" w:leader="none"/>
        </w:tabs>
        <w:spacing w:before="0" w:after="0"/>
        <w:ind w:left="707" w:hanging="283"/>
        <w:rPr/>
      </w:pPr>
      <w:r>
        <w:rPr/>
        <w:t xml:space="preserve">исключить использование в служебных помещениях систем кондиционирования и технических систем вентиляции; </w:t>
      </w:r>
    </w:p>
    <w:p>
      <w:pPr>
        <w:pStyle w:val="TextBody"/>
        <w:numPr>
          <w:ilvl w:val="0"/>
          <w:numId w:val="1"/>
        </w:numPr>
        <w:tabs>
          <w:tab w:val="left" w:pos="0" w:leader="none"/>
        </w:tabs>
        <w:spacing w:before="0" w:after="0"/>
        <w:ind w:left="707" w:hanging="283"/>
        <w:rPr/>
      </w:pPr>
      <w:r>
        <w:rPr/>
        <w:t xml:space="preserve">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 </w:t>
      </w:r>
    </w:p>
    <w:p>
      <w:pPr>
        <w:pStyle w:val="TextBody"/>
        <w:numPr>
          <w:ilvl w:val="0"/>
          <w:numId w:val="1"/>
        </w:numPr>
        <w:tabs>
          <w:tab w:val="left" w:pos="0" w:leader="none"/>
        </w:tabs>
        <w:spacing w:before="0" w:after="0"/>
        <w:ind w:left="707" w:hanging="283"/>
        <w:rPr/>
      </w:pPr>
      <w:r>
        <w:rPr/>
        <w:t xml:space="preserve">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 </w:t>
      </w:r>
    </w:p>
    <w:p>
      <w:pPr>
        <w:pStyle w:val="TextBody"/>
        <w:numPr>
          <w:ilvl w:val="0"/>
          <w:numId w:val="1"/>
        </w:numPr>
        <w:tabs>
          <w:tab w:val="left" w:pos="0" w:leader="none"/>
        </w:tabs>
        <w:spacing w:before="0" w:after="0"/>
        <w:ind w:left="707" w:hanging="283"/>
        <w:rPr/>
      </w:pPr>
      <w:r>
        <w:rPr/>
        <w:t xml:space="preserve">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(рециркуляторы воздуха, УФ-облучатели бактерицидные); </w:t>
      </w:r>
    </w:p>
    <w:p>
      <w:pPr>
        <w:pStyle w:val="TextBody"/>
        <w:numPr>
          <w:ilvl w:val="0"/>
          <w:numId w:val="1"/>
        </w:numPr>
        <w:tabs>
          <w:tab w:val="left" w:pos="0" w:leader="none"/>
        </w:tabs>
        <w:ind w:left="707" w:hanging="283"/>
        <w:rPr/>
      </w:pPr>
      <w:r>
        <w:rPr/>
        <w:t xml:space="preserve">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 </w:t>
      </w:r>
    </w:p>
    <w:p>
      <w:pPr>
        <w:pStyle w:val="TextBody"/>
        <w:rPr/>
      </w:pPr>
      <w:r>
        <w:rPr/>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pPr>
        <w:pStyle w:val="TextBody"/>
        <w:rPr/>
      </w:pPr>
      <w:r>
        <w:rPr/>
        <w: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pPr>
        <w:pStyle w:val="TextBody"/>
        <w:rPr/>
      </w:pPr>
      <w:r>
        <w:rPr/>
        <w:t>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коронавирусной инфекцией (2019-nCoV) в связи с исполнением им трудовых (служебных) обязанностей, обеспечить проведение дезинфекции помещений, где находился заболевший. </w:t>
      </w:r>
    </w:p>
    <w:p>
      <w:pPr>
        <w:pStyle w:val="TextBody"/>
        <w:rPr/>
      </w:pPr>
      <w:r>
        <w:rPr>
          <w:rStyle w:val="StrongEmphasis"/>
        </w:rPr>
        <w:t>III. Рекомендации гражданским служащим, муниципальным служащим, работникам</w:t>
      </w:r>
      <w:r>
        <w:rPr/>
        <w:t> </w:t>
      </w:r>
    </w:p>
    <w:p>
      <w:pPr>
        <w:pStyle w:val="TextBody"/>
        <w:rPr/>
      </w:pPr>
      <w:r>
        <w:rPr/>
        <w:t>3.1.  Гражданским служащим, муниципальным служащим, работникам рекомендуется:</w:t>
      </w:r>
    </w:p>
    <w:p>
      <w:pPr>
        <w:pStyle w:val="TextBody"/>
        <w:numPr>
          <w:ilvl w:val="0"/>
          <w:numId w:val="2"/>
        </w:numPr>
        <w:tabs>
          <w:tab w:val="left" w:pos="0" w:leader="none"/>
        </w:tabs>
        <w:spacing w:before="0" w:after="0"/>
        <w:ind w:left="707" w:hanging="283"/>
        <w:rPr/>
      </w:pPr>
      <w:r>
        <w:rPr/>
        <w:t xml:space="preserve">при планировании отпусков воздерживаться от посещения стран, где была выявлена новая коронавирусная инфекция (2019-nCoV); </w:t>
      </w:r>
    </w:p>
    <w:p>
      <w:pPr>
        <w:pStyle w:val="TextBody"/>
        <w:numPr>
          <w:ilvl w:val="0"/>
          <w:numId w:val="2"/>
        </w:numPr>
        <w:tabs>
          <w:tab w:val="left" w:pos="0" w:leader="none"/>
        </w:tabs>
        <w:spacing w:before="0" w:after="0"/>
        <w:ind w:left="707" w:hanging="283"/>
        <w:rPr/>
      </w:pPr>
      <w:r>
        <w:rPr/>
        <w:t xml:space="preserve">при появлении первых респираторных симптомов незамедлительно обратиться за медицинской помощью; </w:t>
      </w:r>
    </w:p>
    <w:p>
      <w:pPr>
        <w:pStyle w:val="TextBody"/>
        <w:numPr>
          <w:ilvl w:val="0"/>
          <w:numId w:val="2"/>
        </w:numPr>
        <w:tabs>
          <w:tab w:val="left" w:pos="0" w:leader="none"/>
        </w:tabs>
        <w:spacing w:before="0" w:after="0"/>
        <w:ind w:left="707" w:hanging="283"/>
        <w:rPr/>
      </w:pPr>
      <w:r>
        <w:rPr/>
        <w:t xml:space="preserve">посещавшим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 </w:t>
      </w:r>
    </w:p>
    <w:p>
      <w:pPr>
        <w:pStyle w:val="TextBody"/>
        <w:numPr>
          <w:ilvl w:val="0"/>
          <w:numId w:val="2"/>
        </w:numPr>
        <w:tabs>
          <w:tab w:val="left" w:pos="0" w:leader="none"/>
        </w:tabs>
        <w:ind w:left="707" w:hanging="283"/>
        <w:rPr/>
      </w:pPr>
      <w:r>
        <w:rPr/>
        <w:t xml:space="preserve">следовать основным правилам гигиены: </w:t>
      </w:r>
    </w:p>
    <w:p>
      <w:pPr>
        <w:pStyle w:val="TextBody"/>
        <w:rPr/>
      </w:pPr>
      <w:r>
        <w:rPr/>
        <w:t>- мыть руки - с мылом и тёплой водой, не менее 15-20 секунд, всегда мыть руки перед едой;</w:t>
      </w:r>
    </w:p>
    <w:p>
      <w:pPr>
        <w:pStyle w:val="TextBody"/>
        <w:rPr/>
      </w:pPr>
      <w:r>
        <w:rPr/>
        <w:t>- чихать, прикрывая рот и нос салфеткой. Обязательно утилизировать ее после использования;</w:t>
      </w:r>
    </w:p>
    <w:p>
      <w:pPr>
        <w:pStyle w:val="TextBody"/>
        <w:rPr/>
      </w:pPr>
      <w:r>
        <w:rPr/>
        <w:t>- носить с собой дезинфицирующее средство для рук и регулярно применять его.</w:t>
      </w:r>
    </w:p>
    <w:p>
      <w:pPr>
        <w:pStyle w:val="TextBody"/>
        <w:rPr/>
      </w:pPr>
      <w:r>
        <w:rPr/>
        <w:t>3.2. Об установлении карантина гражданский служащий, муниципальный служащий, работник сообщает об этом представителю нанимателя (работодателю). </w:t>
      </w:r>
    </w:p>
    <w:p>
      <w:pPr>
        <w:pStyle w:val="TextBody"/>
        <w:rPr/>
      </w:pPr>
      <w:r>
        <w:rPr>
          <w:rStyle w:val="StrongEmphasis"/>
        </w:rPr>
        <w:t>IV. Заключительные положения </w:t>
      </w:r>
    </w:p>
    <w:p>
      <w:pPr>
        <w:pStyle w:val="TextBody"/>
        <w:spacing w:before="0" w:after="283"/>
        <w:rPr/>
      </w:pPr>
      <w:r>
        <w:rPr/>
        <w:t>4.1. Рекомендовать руководителям органов и организаций, указанных в пункте 1.2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