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 негосударственных организациях социального обслуживания, индивидуальных предпринимателях, предоставляющих социальные услуги в стационарной форме социального обслуживания</w:t>
      </w:r>
    </w:p>
    <w:p>
      <w:pPr>
        <w:pStyle w:val="Heading2"/>
        <w:rPr/>
      </w:pPr>
      <w:r>
        <w:rPr/>
        <w:t>(форма для заполнения)</w:t>
      </w:r>
    </w:p>
    <w:p>
      <w:pPr>
        <w:pStyle w:val="TextBody"/>
        <w:spacing w:before="0" w:after="283"/>
        <w:rPr/>
      </w:pPr>
      <w:r>
        <w:rPr/>
        <w:t>Информация о негосударственных организациях социального обслуживания, индивидуальных предпринимателях, предоставляющих социальные услуги в стационарной форме социального обслуживания и предложениях по совершенствованию системы социального обслуживания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