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893 от 15 декабря 2020 г.</w:t>
      </w:r>
    </w:p>
    <w:p>
      <w:pPr>
        <w:pStyle w:val="Heading2"/>
        <w:rPr/>
      </w:pPr>
      <w:r>
        <w:rPr/>
        <w:t>Об утверждении Положения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</w:t>
      </w:r>
    </w:p>
    <w:p>
      <w:pPr>
        <w:pStyle w:val="TextBody"/>
        <w:rPr/>
      </w:pPr>
      <w:r>
        <w:rPr/>
        <w:t>В соответствии с пунктом 1 статьи 18 Федерального закона от 21 декабря 1994 г. № 68-ФЗ «О защите населения и территорий от чрезвычайных ситуаций природного и техногенного характера», пунктом   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794, пунктом 1 и подпунктом 5.11</w:t>
      </w:r>
      <w:r>
        <w:rPr>
          <w:position w:val="8"/>
          <w:sz w:val="19"/>
        </w:rPr>
        <w:t xml:space="preserve">1 </w:t>
      </w:r>
      <w:r>
        <w:rPr/>
        <w:t>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а также в целях совершенствования работы в области социальной защиты населения, пострадавшего от чрезвычайных ситуаций,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Положение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29 июля 2013 г. № 332 «Об утверждении Положения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А.В. Вовченко.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