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Протокол № 5 от 18 сентября 2019 года</w:t>
      </w:r>
    </w:p>
    <w:p>
      <w:pPr>
        <w:pStyle w:val="Heading2"/>
        <w:rPr/>
      </w:pPr>
      <w:r>
        <w:rPr/>
        <w:t>«ПРОТОКОЛ заседания Общественного совета при Министерстве труда и социальной защиты Российской Федерации от 18 сентября 2019 года № 5»</w:t>
      </w:r>
    </w:p>
    <w:p>
      <w:pPr>
        <w:pStyle w:val="TextBody"/>
        <w:rPr/>
      </w:pPr>
      <w:r>
        <w:rPr/>
        <w:t>ПРЕДСЕДАТЕЛЬСТВОВАЛА Е.А. Тополева-Солдунова</w:t>
      </w:r>
    </w:p>
    <w:p>
      <w:pPr>
        <w:pStyle w:val="TextBody"/>
        <w:rPr/>
      </w:pPr>
      <w:r>
        <w:rPr/>
        <w:t> </w:t>
      </w:r>
    </w:p>
    <w:p>
      <w:pPr>
        <w:pStyle w:val="TextBody"/>
        <w:rPr/>
      </w:pPr>
      <w:r>
        <w:rPr>
          <w:u w:val="single"/>
        </w:rPr>
        <w:t>Присутствовали</w:t>
      </w:r>
      <w:r>
        <w:rPr/>
        <w:t>:</w:t>
      </w:r>
    </w:p>
    <w:tbl>
      <w:tblPr>
        <w:tblW w:w="10205" w:type="dxa"/>
        <w:jc w:val="left"/>
        <w:tblInd w:w="28" w:type="dxa"/>
        <w:tblBorders/>
        <w:tblCellMar>
          <w:top w:w="28" w:type="dxa"/>
          <w:left w:w="28" w:type="dxa"/>
          <w:bottom w:w="28" w:type="dxa"/>
          <w:right w:w="28" w:type="dxa"/>
        </w:tblCellMar>
      </w:tblPr>
      <w:tblGrid>
        <w:gridCol w:w="5344"/>
        <w:gridCol w:w="523"/>
        <w:gridCol w:w="4338"/>
      </w:tblGrid>
      <w:tr>
        <w:trPr/>
        <w:tc>
          <w:tcPr>
            <w:tcW w:w="5344" w:type="dxa"/>
            <w:tcBorders/>
            <w:shd w:fill="auto" w:val="clear"/>
            <w:vAlign w:val="center"/>
          </w:tcPr>
          <w:p>
            <w:pPr>
              <w:pStyle w:val="TableContents"/>
              <w:spacing w:before="0" w:after="283"/>
              <w:rPr/>
            </w:pPr>
            <w:r>
              <w:rPr/>
              <w:t>Министр труда и социальной защиты Российской Федерации</w:t>
            </w:r>
          </w:p>
        </w:tc>
        <w:tc>
          <w:tcPr>
            <w:tcW w:w="523" w:type="dxa"/>
            <w:tcBorders/>
            <w:shd w:fill="auto" w:val="clear"/>
            <w:vAlign w:val="center"/>
          </w:tcPr>
          <w:p>
            <w:pPr>
              <w:pStyle w:val="TableContents"/>
              <w:rPr/>
            </w:pPr>
            <w:r>
              <w:rPr/>
              <w:t>-</w:t>
            </w:r>
          </w:p>
          <w:p>
            <w:pPr>
              <w:pStyle w:val="TableContents"/>
              <w:spacing w:before="0" w:after="283"/>
              <w:rPr/>
            </w:pPr>
            <w:r>
              <w:rPr/>
              <w:t> </w:t>
            </w:r>
          </w:p>
        </w:tc>
        <w:tc>
          <w:tcPr>
            <w:tcW w:w="4338" w:type="dxa"/>
            <w:tcBorders/>
            <w:shd w:fill="auto" w:val="clear"/>
            <w:vAlign w:val="center"/>
          </w:tcPr>
          <w:p>
            <w:pPr>
              <w:pStyle w:val="TableContents"/>
              <w:spacing w:before="0" w:after="283"/>
              <w:rPr/>
            </w:pPr>
            <w:r>
              <w:rPr/>
              <w:t>М.А. Топилин</w:t>
            </w:r>
          </w:p>
        </w:tc>
      </w:tr>
      <w:tr>
        <w:trPr/>
        <w:tc>
          <w:tcPr>
            <w:tcW w:w="5344" w:type="dxa"/>
            <w:tcBorders/>
            <w:shd w:fill="auto" w:val="clear"/>
            <w:vAlign w:val="center"/>
          </w:tcPr>
          <w:p>
            <w:pPr>
              <w:pStyle w:val="TableContents"/>
              <w:spacing w:before="0" w:after="283"/>
              <w:rPr/>
            </w:pPr>
            <w:r>
              <w:rPr/>
              <w:t>Заместитель Министра труда и социальной защиты Российской Федерации</w:t>
            </w:r>
          </w:p>
        </w:tc>
        <w:tc>
          <w:tcPr>
            <w:tcW w:w="523" w:type="dxa"/>
            <w:tcBorders/>
            <w:shd w:fill="auto" w:val="clear"/>
            <w:vAlign w:val="center"/>
          </w:tcPr>
          <w:p>
            <w:pPr>
              <w:pStyle w:val="TableContents"/>
              <w:rPr/>
            </w:pPr>
            <w:r>
              <w:rPr/>
              <w:t>-</w:t>
            </w:r>
          </w:p>
          <w:p>
            <w:pPr>
              <w:pStyle w:val="TableContents"/>
              <w:spacing w:before="0" w:after="283"/>
              <w:rPr/>
            </w:pPr>
            <w:r>
              <w:rPr/>
              <w:t> </w:t>
            </w:r>
          </w:p>
        </w:tc>
        <w:tc>
          <w:tcPr>
            <w:tcW w:w="4338" w:type="dxa"/>
            <w:tcBorders/>
            <w:shd w:fill="auto" w:val="clear"/>
            <w:vAlign w:val="center"/>
          </w:tcPr>
          <w:p>
            <w:pPr>
              <w:pStyle w:val="TableContents"/>
              <w:rPr/>
            </w:pPr>
            <w:r>
              <w:rPr/>
              <w:t>В.Л. Вуколов</w:t>
            </w:r>
          </w:p>
          <w:p>
            <w:pPr>
              <w:pStyle w:val="TableContents"/>
              <w:spacing w:before="0" w:after="283"/>
              <w:rPr/>
            </w:pPr>
            <w:r>
              <w:rPr/>
              <w:t> </w:t>
            </w:r>
          </w:p>
        </w:tc>
      </w:tr>
      <w:tr>
        <w:trPr/>
        <w:tc>
          <w:tcPr>
            <w:tcW w:w="5344" w:type="dxa"/>
            <w:tcBorders/>
            <w:shd w:fill="auto" w:val="clear"/>
            <w:vAlign w:val="center"/>
          </w:tcPr>
          <w:p>
            <w:pPr>
              <w:pStyle w:val="TableContents"/>
              <w:spacing w:before="0" w:after="283"/>
              <w:rPr/>
            </w:pPr>
            <w:r>
              <w:rPr/>
              <w:t>Заместитель Министра труда и социальной защиты Российской Федерации</w:t>
            </w:r>
          </w:p>
        </w:tc>
        <w:tc>
          <w:tcPr>
            <w:tcW w:w="523" w:type="dxa"/>
            <w:tcBorders/>
            <w:shd w:fill="auto" w:val="clear"/>
            <w:vAlign w:val="center"/>
          </w:tcPr>
          <w:p>
            <w:pPr>
              <w:pStyle w:val="TableContents"/>
              <w:spacing w:before="0" w:after="283"/>
              <w:rPr/>
            </w:pPr>
            <w:r>
              <w:rPr/>
              <w:t>-</w:t>
            </w:r>
          </w:p>
        </w:tc>
        <w:tc>
          <w:tcPr>
            <w:tcW w:w="4338" w:type="dxa"/>
            <w:tcBorders/>
            <w:shd w:fill="auto" w:val="clear"/>
            <w:vAlign w:val="center"/>
          </w:tcPr>
          <w:p>
            <w:pPr>
              <w:pStyle w:val="TableContents"/>
              <w:spacing w:before="0" w:after="283"/>
              <w:rPr/>
            </w:pPr>
            <w:r>
              <w:rPr/>
              <w:t>С.В. Петрова</w:t>
            </w:r>
          </w:p>
        </w:tc>
      </w:tr>
      <w:tr>
        <w:trPr/>
        <w:tc>
          <w:tcPr>
            <w:tcW w:w="5344" w:type="dxa"/>
            <w:tcBorders/>
            <w:shd w:fill="auto" w:val="clear"/>
            <w:vAlign w:val="center"/>
          </w:tcPr>
          <w:p>
            <w:pPr>
              <w:pStyle w:val="TableContents"/>
              <w:rPr/>
            </w:pPr>
            <w:r>
              <w:rPr/>
              <w:t>Представители Министерства труда и социальной защиты</w:t>
            </w:r>
          </w:p>
          <w:p>
            <w:pPr>
              <w:pStyle w:val="TableContents"/>
              <w:spacing w:before="0" w:after="283"/>
              <w:rPr/>
            </w:pPr>
            <w:r>
              <w:rPr/>
              <w:t>Российской Федерации</w:t>
            </w:r>
          </w:p>
        </w:tc>
        <w:tc>
          <w:tcPr>
            <w:tcW w:w="523" w:type="dxa"/>
            <w:tcBorders/>
            <w:shd w:fill="auto" w:val="clear"/>
            <w:vAlign w:val="center"/>
          </w:tcPr>
          <w:p>
            <w:pPr>
              <w:pStyle w:val="TableContents"/>
              <w:spacing w:before="0" w:after="283"/>
              <w:rPr/>
            </w:pPr>
            <w:r>
              <w:rPr/>
              <w:t>-</w:t>
            </w:r>
          </w:p>
        </w:tc>
        <w:tc>
          <w:tcPr>
            <w:tcW w:w="4338" w:type="dxa"/>
            <w:tcBorders/>
            <w:shd w:fill="auto" w:val="clear"/>
            <w:vAlign w:val="center"/>
          </w:tcPr>
          <w:p>
            <w:pPr>
              <w:pStyle w:val="TableContents"/>
              <w:spacing w:before="0" w:after="283"/>
              <w:rPr/>
            </w:pPr>
            <w:r>
              <w:rPr/>
              <w:t>Ф.И. Воронин, М.С. Исянова, М.В. Кирсанов, Е.В. Кокорева, М.С. Маслова, Л.Б. Семенова, О.А. Соснина, Е.Н. Яговкина</w:t>
            </w:r>
          </w:p>
        </w:tc>
      </w:tr>
      <w:tr>
        <w:trPr/>
        <w:tc>
          <w:tcPr>
            <w:tcW w:w="5344" w:type="dxa"/>
            <w:tcBorders/>
            <w:shd w:fill="auto" w:val="clear"/>
            <w:vAlign w:val="center"/>
          </w:tcPr>
          <w:p>
            <w:pPr>
              <w:pStyle w:val="TableContents"/>
              <w:rPr/>
            </w:pPr>
            <w:r>
              <w:rPr/>
              <w:t>Члены Общественного совета при Министерстве труда и социальной защиты Российской Федерации</w:t>
            </w:r>
          </w:p>
          <w:p>
            <w:pPr>
              <w:pStyle w:val="TableContents"/>
              <w:spacing w:before="0" w:after="283"/>
              <w:rPr/>
            </w:pPr>
            <w:r>
              <w:rPr/>
              <w:t> </w:t>
            </w:r>
          </w:p>
        </w:tc>
        <w:tc>
          <w:tcPr>
            <w:tcW w:w="523" w:type="dxa"/>
            <w:tcBorders/>
            <w:shd w:fill="auto" w:val="clear"/>
            <w:vAlign w:val="center"/>
          </w:tcPr>
          <w:p>
            <w:pPr>
              <w:pStyle w:val="TableContents"/>
              <w:spacing w:before="0" w:after="283"/>
              <w:rPr/>
            </w:pPr>
            <w:r>
              <w:rPr/>
              <w:t>-</w:t>
            </w:r>
          </w:p>
        </w:tc>
        <w:tc>
          <w:tcPr>
            <w:tcW w:w="4338" w:type="dxa"/>
            <w:tcBorders/>
            <w:shd w:fill="auto" w:val="clear"/>
            <w:vAlign w:val="center"/>
          </w:tcPr>
          <w:p>
            <w:pPr>
              <w:pStyle w:val="TableContents"/>
              <w:spacing w:before="0" w:after="283"/>
              <w:rPr/>
            </w:pPr>
            <w:r>
              <w:rPr/>
              <w:t>Е.Б. Береговая, И.В. Галл-Савальский, Ю.М. Горлин, О.М. Данилова, А.М. Козлов, М.Ю. Комиссаров, О.В. Коротеева, Д.М. Кришталь, Н.Н. Кузьмина, М.А. Мокина, М.В. Москвина, Л.Н. Овчарова, Д.В. Поликанов, С.И. Рыбальченко, Н.А. Сарычев, А.М. Спивак, Б.А. Федосимов, Е.Н. Феоктистова</w:t>
            </w:r>
          </w:p>
        </w:tc>
      </w:tr>
      <w:tr>
        <w:trPr/>
        <w:tc>
          <w:tcPr>
            <w:tcW w:w="5344" w:type="dxa"/>
            <w:tcBorders/>
            <w:shd w:fill="auto" w:val="clear"/>
            <w:vAlign w:val="center"/>
          </w:tcPr>
          <w:p>
            <w:pPr>
              <w:pStyle w:val="TableContents"/>
              <w:rPr/>
            </w:pPr>
            <w:r>
              <w:rPr/>
              <w:t>Представитель Министерства экономического развития</w:t>
            </w:r>
          </w:p>
          <w:p>
            <w:pPr>
              <w:pStyle w:val="TableContents"/>
              <w:spacing w:before="0" w:after="283"/>
              <w:rPr/>
            </w:pPr>
            <w:r>
              <w:rPr/>
              <w:t>Российской Федерации</w:t>
            </w:r>
          </w:p>
        </w:tc>
        <w:tc>
          <w:tcPr>
            <w:tcW w:w="523" w:type="dxa"/>
            <w:tcBorders/>
            <w:shd w:fill="auto" w:val="clear"/>
            <w:vAlign w:val="center"/>
          </w:tcPr>
          <w:p>
            <w:pPr>
              <w:pStyle w:val="TableContents"/>
              <w:spacing w:before="0" w:after="283"/>
              <w:rPr/>
            </w:pPr>
            <w:r>
              <w:rPr/>
              <w:t>-</w:t>
            </w:r>
          </w:p>
        </w:tc>
        <w:tc>
          <w:tcPr>
            <w:tcW w:w="4338" w:type="dxa"/>
            <w:tcBorders/>
            <w:shd w:fill="auto" w:val="clear"/>
            <w:vAlign w:val="center"/>
          </w:tcPr>
          <w:p>
            <w:pPr>
              <w:pStyle w:val="TableContents"/>
              <w:spacing w:before="0" w:after="283"/>
              <w:rPr/>
            </w:pPr>
            <w:r>
              <w:rPr/>
              <w:t>Е.А. Иваницкая</w:t>
            </w:r>
          </w:p>
        </w:tc>
      </w:tr>
      <w:tr>
        <w:trPr/>
        <w:tc>
          <w:tcPr>
            <w:tcW w:w="5344" w:type="dxa"/>
            <w:tcBorders/>
            <w:shd w:fill="auto" w:val="clear"/>
            <w:vAlign w:val="center"/>
          </w:tcPr>
          <w:p>
            <w:pPr>
              <w:pStyle w:val="TableContents"/>
              <w:spacing w:before="0" w:after="283"/>
              <w:rPr/>
            </w:pPr>
            <w:r>
              <w:rPr/>
              <w:t>Ответственные работники приглашенных организаций</w:t>
            </w:r>
          </w:p>
        </w:tc>
        <w:tc>
          <w:tcPr>
            <w:tcW w:w="523" w:type="dxa"/>
            <w:tcBorders/>
            <w:shd w:fill="auto" w:val="clear"/>
            <w:vAlign w:val="center"/>
          </w:tcPr>
          <w:p>
            <w:pPr>
              <w:pStyle w:val="TableContents"/>
              <w:spacing w:before="0" w:after="283"/>
              <w:rPr/>
            </w:pPr>
            <w:r>
              <w:rPr/>
              <w:t>-</w:t>
            </w:r>
          </w:p>
        </w:tc>
        <w:tc>
          <w:tcPr>
            <w:tcW w:w="4338" w:type="dxa"/>
            <w:tcBorders/>
            <w:shd w:fill="auto" w:val="clear"/>
            <w:vAlign w:val="center"/>
          </w:tcPr>
          <w:p>
            <w:pPr>
              <w:pStyle w:val="TableContents"/>
              <w:spacing w:before="0" w:after="283"/>
              <w:rPr/>
            </w:pPr>
            <w:r>
              <w:rPr/>
              <w:t>Л.А. Захарова (по ВКС), И.Р. Киш, С.А. Моднов, Е.Г. Орлова, В.Р. Рустамова, Л.П. Сукочева, А.И. Хаитова</w:t>
            </w:r>
          </w:p>
        </w:tc>
      </w:tr>
      <w:tr>
        <w:trPr/>
        <w:tc>
          <w:tcPr>
            <w:tcW w:w="5344" w:type="dxa"/>
            <w:tcBorders/>
            <w:shd w:fill="auto" w:val="clear"/>
            <w:vAlign w:val="center"/>
          </w:tcPr>
          <w:p>
            <w:pPr>
              <w:pStyle w:val="TableContents"/>
              <w:rPr/>
            </w:pPr>
            <w:r>
              <w:rPr/>
              <w:t>Представители средств массовой информации</w:t>
            </w:r>
          </w:p>
          <w:p>
            <w:pPr>
              <w:pStyle w:val="TableContents"/>
              <w:spacing w:before="0" w:after="283"/>
              <w:rPr/>
            </w:pPr>
            <w:r>
              <w:rPr/>
              <w:t> </w:t>
            </w:r>
          </w:p>
        </w:tc>
        <w:tc>
          <w:tcPr>
            <w:tcW w:w="523" w:type="dxa"/>
            <w:tcBorders/>
            <w:shd w:fill="auto" w:val="clear"/>
            <w:vAlign w:val="center"/>
          </w:tcPr>
          <w:p>
            <w:pPr>
              <w:pStyle w:val="TableContents"/>
              <w:spacing w:before="0" w:after="283"/>
              <w:rPr/>
            </w:pPr>
            <w:r>
              <w:rPr/>
              <w:t>-</w:t>
            </w:r>
          </w:p>
        </w:tc>
        <w:tc>
          <w:tcPr>
            <w:tcW w:w="4338" w:type="dxa"/>
            <w:tcBorders/>
            <w:shd w:fill="auto" w:val="clear"/>
            <w:vAlign w:val="center"/>
          </w:tcPr>
          <w:p>
            <w:pPr>
              <w:pStyle w:val="TableContents"/>
              <w:rPr/>
            </w:pPr>
            <w:r>
              <w:rPr/>
              <w:t>представители информационных агентств</w:t>
            </w:r>
          </w:p>
          <w:p>
            <w:pPr>
              <w:pStyle w:val="TableContents"/>
              <w:spacing w:before="0" w:after="283"/>
              <w:rPr/>
            </w:pPr>
            <w:r>
              <w:rPr/>
              <w:t>(всего - 3 человека)</w:t>
            </w:r>
          </w:p>
        </w:tc>
      </w:tr>
    </w:tbl>
    <w:p>
      <w:pPr>
        <w:pStyle w:val="TextBody"/>
        <w:numPr>
          <w:ilvl w:val="0"/>
          <w:numId w:val="1"/>
        </w:numPr>
        <w:tabs>
          <w:tab w:val="left" w:pos="0" w:leader="none"/>
        </w:tabs>
        <w:ind w:left="707" w:hanging="283"/>
        <w:rPr/>
      </w:pPr>
      <w:r>
        <w:rPr>
          <w:rStyle w:val="StrongEmphasis"/>
        </w:rPr>
        <w:t>Общественное обсуждение отчета Минэкономразвития России о доступе социально ориентированных некоммерческих организаций к предоставлению услуг в социальной сфере в 2018 г. по направлению «Социальная защита и социальное обслуживание»</w:t>
      </w:r>
      <w:r>
        <w:rPr/>
        <w:t xml:space="preserve"> </w:t>
      </w:r>
    </w:p>
    <w:p>
      <w:pPr>
        <w:pStyle w:val="TextBody"/>
        <w:rPr/>
      </w:pPr>
      <w:r>
        <w:rPr/>
        <w:t>По результатам обсуждения отчета Минэкономразвития России о доступе социально ориентированных некоммерческих организаций (СО НКО) к предоставлению услуг в социальной сфере в 2018 году, а также информации, полученной от ряда организаций, оказывающих услуги в сфере социального обслуживания, приняты следующие решения:</w:t>
      </w:r>
    </w:p>
    <w:p>
      <w:pPr>
        <w:pStyle w:val="TextBody"/>
        <w:numPr>
          <w:ilvl w:val="0"/>
          <w:numId w:val="2"/>
        </w:numPr>
        <w:tabs>
          <w:tab w:val="left" w:pos="0" w:leader="none"/>
        </w:tabs>
        <w:spacing w:before="0" w:after="0"/>
        <w:ind w:left="707" w:hanging="283"/>
        <w:rPr/>
      </w:pPr>
      <w:r>
        <w:rPr/>
        <w:t xml:space="preserve">Отметить, что отчет Минэкономразвития России отражает в целом позитивную динамику расширения участия СО НКО в предоставлении социальных услуг. </w:t>
      </w:r>
    </w:p>
    <w:p>
      <w:pPr>
        <w:pStyle w:val="TextBody"/>
        <w:numPr>
          <w:ilvl w:val="0"/>
          <w:numId w:val="2"/>
        </w:numPr>
        <w:tabs>
          <w:tab w:val="left" w:pos="0" w:leader="none"/>
        </w:tabs>
        <w:spacing w:before="0" w:after="0"/>
        <w:ind w:left="707" w:hanging="283"/>
        <w:rPr/>
      </w:pPr>
      <w:r>
        <w:rPr/>
        <w:t xml:space="preserve">Вместе с тем обратить внимание на недостаточность конкретной информации, характеризующей сложившуюся в субъектах Российской Федерации ситуацию с доступом СО НКО к предоставлению услуг в сфере социальной защиты и социального обслуживания, в том числе, по таким вопросам, как действующий порядок, процедуры и практика возмещения расходов, связанных с оказанием социальных услуг (своевременность, полнота, механизмы, барьеры и ограничения), правила вхождения в реестр СО НКО – поставщиков социальных услуг, а также правила работы находящихся в нем организаций и др.. </w:t>
      </w:r>
    </w:p>
    <w:p>
      <w:pPr>
        <w:pStyle w:val="TextBody"/>
        <w:numPr>
          <w:ilvl w:val="0"/>
          <w:numId w:val="2"/>
        </w:numPr>
        <w:tabs>
          <w:tab w:val="left" w:pos="0" w:leader="none"/>
        </w:tabs>
        <w:spacing w:before="0" w:after="0"/>
        <w:ind w:left="707" w:hanging="283"/>
        <w:rPr/>
      </w:pPr>
      <w:r>
        <w:rPr/>
        <w:t xml:space="preserve">Обратиться к Минэкономразвития России с предложением расширить в последующих отчетах информацию о доступе СО НКО к предоставлению услуг в социальной сфере. Рекомендовать при этом включать в отчеты анализ динамики и дифференциации СО НКО - получателей субсидии в регионах (по объему получаемых средств, по видам предоставляемых услуг,  категориям получателей услуг и др.), уточнить и разъяснить субъектам Российской Федерации методику расчета численности получателей услуг в целях получения от них достоверной и сравнимой информации. </w:t>
      </w:r>
    </w:p>
    <w:p>
      <w:pPr>
        <w:pStyle w:val="TextBody"/>
        <w:numPr>
          <w:ilvl w:val="0"/>
          <w:numId w:val="2"/>
        </w:numPr>
        <w:tabs>
          <w:tab w:val="left" w:pos="0" w:leader="none"/>
        </w:tabs>
        <w:spacing w:before="0" w:after="0"/>
        <w:ind w:left="707" w:hanging="283"/>
        <w:rPr/>
      </w:pPr>
      <w:r>
        <w:rPr/>
        <w:t xml:space="preserve">Поддержать инициативу Общественной палаты Российской Федерации по подготовке доклада, отражающего региональную и отраслевую специфику, а также ключевые проблемы, связанные с доступом СО НКО к предоставлению социальных услуг, и предложить направить его для рассмотрения в Минтруд России и Общественный совет при Минтруде России. </w:t>
      </w:r>
    </w:p>
    <w:p>
      <w:pPr>
        <w:pStyle w:val="TextBody"/>
        <w:numPr>
          <w:ilvl w:val="0"/>
          <w:numId w:val="2"/>
        </w:numPr>
        <w:tabs>
          <w:tab w:val="left" w:pos="0" w:leader="none"/>
        </w:tabs>
        <w:spacing w:before="0" w:after="0"/>
        <w:ind w:left="707" w:hanging="283"/>
        <w:rPr/>
      </w:pPr>
      <w:r>
        <w:rPr/>
        <w:t xml:space="preserve">Рекомендовать Минтруду России обратиться с предложением в Правительство Российской Федерации о включении в государственное задание на оказание государственных услуг (выполнение работ) для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задачу по проведению анализа региональных нормативных актов, регулирующих доступ негосударственных организаций, в том числе СО НКО, к предоставлению услуг в сфере социальной защиты и социального обслуживания, а также деятельность СО НКО в этой сфере, обратив особое внимание в техническом задании на выявление ограничений, барьеров, препятствующих или затрудняющих деятельность этих организаций. </w:t>
      </w:r>
    </w:p>
    <w:p>
      <w:pPr>
        <w:pStyle w:val="TextBody"/>
        <w:numPr>
          <w:ilvl w:val="0"/>
          <w:numId w:val="2"/>
        </w:numPr>
        <w:tabs>
          <w:tab w:val="left" w:pos="0" w:leader="none"/>
        </w:tabs>
        <w:spacing w:before="0" w:after="0"/>
        <w:ind w:left="707" w:hanging="283"/>
        <w:rPr/>
      </w:pPr>
      <w:r>
        <w:rPr/>
        <w:t xml:space="preserve">Рекомендовать Минтруду России с участием членов Общественного совета рассмотреть правоприменительную практику норм пункта 8 статьи 30 Федерального закона № 442-ФЗ «Об основах социального обслуживания граждан в Российской Федерации» в части формирования соответствующих бюджетному законодательству механизмов реализации права поставщиков социальных услуг на получение компенсаций и разработать соответствующие рекомендации. </w:t>
      </w:r>
    </w:p>
    <w:p>
      <w:pPr>
        <w:pStyle w:val="TextBody"/>
        <w:numPr>
          <w:ilvl w:val="0"/>
          <w:numId w:val="2"/>
        </w:numPr>
        <w:tabs>
          <w:tab w:val="left" w:pos="0" w:leader="none"/>
        </w:tabs>
        <w:spacing w:before="0" w:after="0"/>
        <w:ind w:left="707" w:hanging="283"/>
        <w:rPr/>
      </w:pPr>
      <w:r>
        <w:rPr/>
        <w:t xml:space="preserve">Рекомендовать Минэкономразвития России, Минтруду России, Минпросвещения России, Минобрнауки России и Минздраву России рассмотреть возможность провести мониторинг, направленный на выявление проблемных аспектов, связанных с доступом СО НКО к предоставлению социальных услуг. </w:t>
      </w:r>
    </w:p>
    <w:p>
      <w:pPr>
        <w:pStyle w:val="TextBody"/>
        <w:numPr>
          <w:ilvl w:val="0"/>
          <w:numId w:val="2"/>
        </w:numPr>
        <w:tabs>
          <w:tab w:val="left" w:pos="0" w:leader="none"/>
        </w:tabs>
        <w:ind w:left="707" w:hanging="283"/>
        <w:rPr/>
      </w:pPr>
      <w:r>
        <w:rPr/>
        <w:t xml:space="preserve">Рекомендовать Минэкономразвития России совместно с заинтересованными федеральными органами исполнительной власти: </w:t>
      </w:r>
    </w:p>
    <w:p>
      <w:pPr>
        <w:pStyle w:val="TextBody"/>
        <w:rPr/>
      </w:pPr>
      <w:r>
        <w:rPr/>
        <w:t>- Подготовить методические рекомендации субъектам Российской Федерации на основе своего отчета о доступе СО НКО к предоставлению услуг в социальной сфере в 2018 году, а также с учетом доклада Общественной палаты Российской Федерации. В указанные методические рекомендации предлагается включить разъяснения в отношении того, что СО НКО должны вести свою деятельность и заключать договоры с профильными органами исполнительной власти субъектов Российской Федерации  в соответствии с бюджетным законодательством.</w:t>
      </w:r>
    </w:p>
    <w:p>
      <w:pPr>
        <w:pStyle w:val="TextBody"/>
        <w:rPr/>
      </w:pPr>
      <w:r>
        <w:rPr/>
        <w:t>- Направить соответствующее письмо в субъекты Российской Федерации о необходимости размещения на официальных сайтах профильных органов исполнительной власти «калькулятора тарифов» на оказание социальных услуг для поставщиков этих услуг.</w:t>
      </w:r>
    </w:p>
    <w:p>
      <w:pPr>
        <w:pStyle w:val="TextBody"/>
        <w:numPr>
          <w:ilvl w:val="0"/>
          <w:numId w:val="3"/>
        </w:numPr>
        <w:tabs>
          <w:tab w:val="left" w:pos="0" w:leader="none"/>
        </w:tabs>
        <w:spacing w:before="0" w:after="0"/>
        <w:ind w:left="707" w:hanging="283"/>
        <w:rPr/>
      </w:pPr>
      <w:r>
        <w:rPr/>
        <w:t xml:space="preserve">Включить в план работы Общественного совета обсуждение конкретных сложившихся в субъектах Российской Федерации ситуаций, выявленных проблем и типичных примеров, связанных с ограничением доступа или затруднением деятельности СО НКО по предоставлению услуг в сфере социальной защиты и социального обслуживания с приглашением общественных советов профильных органов исполнительной власти субъектов Российской Федерации. </w:t>
      </w:r>
    </w:p>
    <w:p>
      <w:pPr>
        <w:pStyle w:val="TextBody"/>
        <w:numPr>
          <w:ilvl w:val="0"/>
          <w:numId w:val="3"/>
        </w:numPr>
        <w:tabs>
          <w:tab w:val="left" w:pos="0" w:leader="none"/>
        </w:tabs>
        <w:ind w:left="707" w:hanging="283"/>
        <w:rPr/>
      </w:pPr>
      <w:r>
        <w:rPr>
          <w:rStyle w:val="StrongEmphasis"/>
        </w:rPr>
        <w:t>О проекте федерального закона «О внесении изменений в статью 1 Федерального закона «О минимальном размере оплаты труда»</w:t>
      </w:r>
      <w:r>
        <w:rPr/>
        <w:t xml:space="preserve">  </w:t>
      </w:r>
    </w:p>
    <w:p>
      <w:pPr>
        <w:pStyle w:val="TextBody"/>
        <w:numPr>
          <w:ilvl w:val="0"/>
          <w:numId w:val="4"/>
        </w:numPr>
        <w:tabs>
          <w:tab w:val="left" w:pos="0" w:leader="none"/>
        </w:tabs>
        <w:spacing w:before="0" w:after="0"/>
        <w:ind w:left="707" w:hanging="283"/>
        <w:rPr/>
      </w:pPr>
      <w:r>
        <w:rPr/>
        <w:t xml:space="preserve">Принять к сведению доклад Директора Департамента оплаты труда, трудовых отношений и социального партнерства Минтруда России М.С. Масловой по данному вопросу. </w:t>
      </w:r>
    </w:p>
    <w:p>
      <w:pPr>
        <w:pStyle w:val="TextBody"/>
        <w:numPr>
          <w:ilvl w:val="0"/>
          <w:numId w:val="4"/>
        </w:numPr>
        <w:tabs>
          <w:tab w:val="left" w:pos="0" w:leader="none"/>
        </w:tabs>
        <w:ind w:left="707" w:hanging="283"/>
        <w:rPr/>
      </w:pPr>
      <w:r>
        <w:rPr/>
        <w:t xml:space="preserve">Поддержать подготовленный Минтрудом России проект федерального закона «О внесении изменений в статью 1 Федерального закона «О минимальном размере оплаты труда». </w:t>
      </w:r>
    </w:p>
    <w:p>
      <w:pPr>
        <w:pStyle w:val="TextBody"/>
        <w:numPr>
          <w:ilvl w:val="0"/>
          <w:numId w:val="5"/>
        </w:numPr>
        <w:tabs>
          <w:tab w:val="left" w:pos="0" w:leader="none"/>
        </w:tabs>
        <w:ind w:left="707" w:hanging="283"/>
        <w:rPr/>
      </w:pPr>
      <w:r>
        <w:rPr>
          <w:rStyle w:val="StrongEmphasis"/>
        </w:rPr>
        <w:t>О проекте постановления Правительства Российской Федерации «О размерах минимальной и максимальной величин пособия по безработице на 2020 год»</w:t>
      </w:r>
      <w:r>
        <w:rPr/>
        <w:t xml:space="preserve"> </w:t>
      </w:r>
    </w:p>
    <w:p>
      <w:pPr>
        <w:pStyle w:val="TextBody"/>
        <w:numPr>
          <w:ilvl w:val="0"/>
          <w:numId w:val="6"/>
        </w:numPr>
        <w:tabs>
          <w:tab w:val="left" w:pos="0" w:leader="none"/>
        </w:tabs>
        <w:spacing w:before="0" w:after="0"/>
        <w:ind w:left="707" w:hanging="283"/>
        <w:rPr/>
      </w:pPr>
      <w:r>
        <w:rPr/>
        <w:t xml:space="preserve">Принять к сведению информацию Директора Департамента занятости населения Минтруда России М.В. Кирсанова по рассматриваемому вопросу. </w:t>
      </w:r>
    </w:p>
    <w:p>
      <w:pPr>
        <w:pStyle w:val="TextBody"/>
        <w:numPr>
          <w:ilvl w:val="0"/>
          <w:numId w:val="6"/>
        </w:numPr>
        <w:tabs>
          <w:tab w:val="left" w:pos="0" w:leader="none"/>
        </w:tabs>
        <w:spacing w:before="0" w:after="0"/>
        <w:ind w:left="707" w:hanging="283"/>
        <w:rPr/>
      </w:pPr>
      <w:r>
        <w:rPr/>
        <w:t xml:space="preserve">С учетом состоявшегося обсуждения поддержать представленный проект постановления Правительства Российской Федерации «О размерах минимальной и максимальной величин пособия по безработице на 2020 год». </w:t>
      </w:r>
    </w:p>
    <w:p>
      <w:pPr>
        <w:pStyle w:val="TextBody"/>
        <w:numPr>
          <w:ilvl w:val="0"/>
          <w:numId w:val="6"/>
        </w:numPr>
        <w:tabs>
          <w:tab w:val="left" w:pos="0" w:leader="none"/>
        </w:tabs>
        <w:spacing w:before="0" w:after="0"/>
        <w:ind w:left="707" w:hanging="283"/>
        <w:rPr/>
      </w:pPr>
      <w:r>
        <w:rPr/>
        <w:t xml:space="preserve">Отметить позицию членов Общественного совета Д.М. Кришталя и Н.Н. Кузьминой, представляющих общероссийские объединения профсоюзов, о не поддержании рассматриваемого проекта постановления в связи с тем, что проектируемая минимальная величина пособия по безработице не соответствует величине прожиточного минимума трудоспособного населения в Российской Федерации. </w:t>
      </w:r>
    </w:p>
    <w:p>
      <w:pPr>
        <w:pStyle w:val="TextBody"/>
        <w:numPr>
          <w:ilvl w:val="0"/>
          <w:numId w:val="6"/>
        </w:numPr>
        <w:tabs>
          <w:tab w:val="left" w:pos="0" w:leader="none"/>
        </w:tabs>
        <w:spacing w:before="0" w:after="0"/>
        <w:ind w:left="707" w:hanging="283"/>
        <w:rPr/>
      </w:pPr>
      <w:r>
        <w:rPr>
          <w:rStyle w:val="StrongEmphasis"/>
        </w:rPr>
        <w:t>Разное</w:t>
      </w:r>
      <w:r>
        <w:rPr/>
        <w:t xml:space="preserve"> </w:t>
      </w:r>
    </w:p>
    <w:p>
      <w:pPr>
        <w:pStyle w:val="TextBody"/>
        <w:numPr>
          <w:ilvl w:val="0"/>
          <w:numId w:val="6"/>
        </w:numPr>
        <w:tabs>
          <w:tab w:val="left" w:pos="0" w:leader="none"/>
        </w:tabs>
        <w:spacing w:before="0" w:after="0"/>
        <w:ind w:left="707" w:hanging="283"/>
        <w:rPr/>
      </w:pPr>
      <w:r>
        <w:rPr/>
        <w:t xml:space="preserve">Принять к сведению информацию Заместителя председателя Общественного совета Д.В. Поликанова в отношении ситуации, связанной со строительством в Хабаровском крае (в районе села Некрасовка)  женского психоневрологическогоинтерната. </w:t>
      </w:r>
    </w:p>
    <w:p>
      <w:pPr>
        <w:pStyle w:val="TextBody"/>
        <w:numPr>
          <w:ilvl w:val="0"/>
          <w:numId w:val="6"/>
        </w:numPr>
        <w:tabs>
          <w:tab w:val="left" w:pos="0" w:leader="none"/>
        </w:tabs>
        <w:ind w:left="707" w:hanging="283"/>
        <w:rPr/>
      </w:pPr>
      <w:r>
        <w:rPr/>
        <w:t xml:space="preserve">Рекомендовать Общественному совету при Министерстве социальной защиты населения Хабаровского края совместно с Общественной палатой Хабаровского края с приглашением профильных СО НКО и всех заинтересованных сторон провести совместное заседание, на котором обсудить вышеуказанную ситуацию (связанную со строительством в Хабаровском крае женского психоневрологического интерната). </w:t>
      </w:r>
    </w:p>
    <w:p>
      <w:pPr>
        <w:pStyle w:val="TextBody"/>
        <w:rPr/>
      </w:pPr>
      <w:r>
        <w:rPr/>
        <w:t>Результаты обсуждения, сформированные по итогам проведения данного заседания, рекомендуется направить в Общественный совет при Минтруде России в срок до 30 октября 2019 года.</w:t>
      </w:r>
    </w:p>
    <w:p>
      <w:pPr>
        <w:pStyle w:val="TextBody"/>
        <w:rPr/>
      </w:pPr>
      <w:r>
        <w:rPr/>
        <w:t>Координацию и контроль за реализацией данного протокольного пункта возложить на Комиссию по общественным коммуникациям и связям с регионами (№ 5) Общественного совета (С.Г. Маковецкая).</w:t>
      </w:r>
    </w:p>
    <w:p>
      <w:pPr>
        <w:pStyle w:val="TextBody"/>
        <w:numPr>
          <w:ilvl w:val="0"/>
          <w:numId w:val="7"/>
        </w:numPr>
        <w:tabs>
          <w:tab w:val="left" w:pos="0" w:leader="none"/>
        </w:tabs>
        <w:spacing w:before="0" w:after="0"/>
        <w:ind w:left="707" w:hanging="283"/>
        <w:rPr/>
      </w:pPr>
      <w:r>
        <w:rPr/>
        <w:t xml:space="preserve">Общественному совету (Е.А. Тополева-Солдунова) совместно с Минтрудом России проработать возможность проведения выставки архитектурных проектов по итогам архитектурного конкурса на лучший концептуальный проект зданий стационарных организаций социального обслуживания пожилых граждан в здании Общественной палаты Российской Федерации (г. Москва, Миусская площадь, дом 7 стр. 1). </w:t>
      </w:r>
    </w:p>
    <w:p>
      <w:pPr>
        <w:pStyle w:val="TextBody"/>
        <w:numPr>
          <w:ilvl w:val="0"/>
          <w:numId w:val="7"/>
        </w:numPr>
        <w:tabs>
          <w:tab w:val="left" w:pos="0" w:leader="none"/>
        </w:tabs>
        <w:spacing w:before="0" w:after="0"/>
        <w:ind w:left="707" w:hanging="283"/>
        <w:rPr/>
      </w:pPr>
      <w:r>
        <w:rPr/>
        <w:t xml:space="preserve">В повестку следующего заседания Общественного совета включить вопрос, связанный с реформированием системы психоневрологических интернатов в Российской Федерации. </w:t>
      </w:r>
    </w:p>
    <w:p>
      <w:pPr>
        <w:pStyle w:val="TextBody"/>
        <w:numPr>
          <w:ilvl w:val="0"/>
          <w:numId w:val="7"/>
        </w:numPr>
        <w:tabs>
          <w:tab w:val="left" w:pos="0" w:leader="none"/>
        </w:tabs>
        <w:spacing w:before="0" w:after="0"/>
        <w:ind w:left="707" w:hanging="283"/>
        <w:rPr/>
      </w:pPr>
      <w:r>
        <w:rPr/>
        <w:t xml:space="preserve">Принять к сведению информацию Секретаря Общественного совета, Советника Министра труда и социальной защиты Российской Федерации Ф.И. Воронина в отношении работы, проводимой Общественным советом и Минтрудом России по проекту федерального закона «О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нарушения в сфере осуществления общественного контроля)», а также по проекту федерального закона «О внесении изменений в Федеральный закон «Об основах общественного контроля в Российской Федерации» по вопросам совершенствования организации и проведения общественного контроля». </w:t>
      </w:r>
    </w:p>
    <w:p>
      <w:pPr>
        <w:pStyle w:val="TextBody"/>
        <w:numPr>
          <w:ilvl w:val="0"/>
          <w:numId w:val="7"/>
        </w:numPr>
        <w:tabs>
          <w:tab w:val="left" w:pos="0" w:leader="none"/>
        </w:tabs>
        <w:ind w:left="707" w:hanging="283"/>
        <w:rPr/>
      </w:pPr>
      <w:r>
        <w:rPr/>
        <w:t xml:space="preserve">Членам Общественного совета в срок до 25 октября 2019 года направить при наличии свои финальные замечания/предложения в отношении вышеуказанных законопроектов члену Общественного совета Б.А. Федосимову, а также Секретарю Общественного совета, Советнику Министра труда и социальной защиты Российской Федерации Ф.И. Воронину для рассмотрения и анализа при доработке законопроектов перед направлением данных законопроектов на внешнее согласование. </w:t>
      </w:r>
    </w:p>
    <w:p>
      <w:pPr>
        <w:pStyle w:val="TextBody"/>
        <w:spacing w:before="0" w:after="283"/>
        <w:rPr/>
      </w:pPr>
      <w:r>
        <w:rPr/>
        <w:t>Председатель Общественного совета при Министерстве труда и социальной защиты Российской Федерации: Е.А. Тополева-Солдунова</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NumberingSymbols">
    <w:name w:val="Numbering Symbols"/>
    <w:qFormat/>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