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223 от 7 апреля 2021 г.</w:t>
      </w:r>
    </w:p>
    <w:p>
      <w:pPr>
        <w:pStyle w:val="Heading2"/>
        <w:rPr/>
      </w:pPr>
      <w:r>
        <w:rPr/>
        <w:t>Об утверждении детального плана–графика реализации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363, на 2021 год и на плановый период 2022 и 2023 годов</w:t>
      </w:r>
    </w:p>
    <w:p>
      <w:pPr>
        <w:pStyle w:val="TextBody"/>
        <w:rPr/>
      </w:pPr>
      <w:r>
        <w:rPr/>
        <w:t>В соответствии с пунктом 30 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«Доступная среда», утвержденной постановлением Правительства Российской Федерации </w:t>
        <w:br/>
        <w:t xml:space="preserve">от </w:t>
        <w:softHyphen/>
        <w:softHyphen/>
        <w:softHyphen/>
        <w:softHyphen/>
        <w:t xml:space="preserve">29 марта 2019 г. № 363, на 2021 год и на плановый период 2022 и 2023 годов.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17 января 2020 г. № 20 «Об утверждении детального плана–графика реализации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363, на 2020 год и на плановый период 2021 и 2022 годов».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