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274н от 22 апреля 2021 г.</w:t>
      </w:r>
    </w:p>
    <w:p>
      <w:pPr>
        <w:pStyle w:val="Heading2"/>
        <w:rPr/>
      </w:pPr>
      <w:r>
        <w:rPr/>
        <w:t>Об утверждении профессионального стандарта «Специалист в области охраны труда»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в области охраны труда».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4 августа 2014 г. № 524н «Об утверждении профессионального стандарта «Специалист в области охраны труда» (зарегистрирован Министерством юстиции Российской Федерации 20 августа 2014 г., регистрационный № 33671);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5 апреля 2016 г. № 150н «О внесении изменений в профессиональный стандарт «Специалист в области охраны труда», утвержденный приказом Министерства труда и социальной защиты Российской Федерации от 4 августа 2014 г. № 524н» (зарегистрирован Министерством юстиции Российской Федерации 25 апреля 2016 г., регистрационный № 41920);</w:t>
      </w:r>
    </w:p>
    <w:p>
      <w:pPr>
        <w:pStyle w:val="TextBody"/>
        <w:rPr/>
      </w:pPr>
      <w:r>
        <w:rPr/>
        <w:t>пункт 118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 № 45230).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сентября 2021 г. и действует до 1 сентября 2027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