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454 от 6 июля 2021 г.</w:t>
      </w:r>
    </w:p>
    <w:p>
      <w:pPr>
        <w:pStyle w:val="Heading2"/>
        <w:rPr/>
      </w:pPr>
      <w:r>
        <w:rPr/>
        <w:t>О признании утратившими силу некоторых приказов Министерства труда и социальной защиты Российской Федерации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приказ Министерства труда и социальной защиты Российской Федерации от 4 июня 2018 г. № 345 «О рабочей группе по вопросам увеличения финансового обеспечения за счет сумм страховых взносов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</w:t>
        <w:br/>
        <w:t xml:space="preserve">с вредными и (или) опасными производственными факторами»;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 от 29 мая 2019 г. № 365 «О рабочей группе по анализу влияния возраста водителей транспортных средств на состояние аварийности на транспорте и подготовке предложений по совершенствованию законодательства в части предоставления указанным работникам льгот, в том числе при назначении страховой пенсии по старости»;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14 июля 2020 г. № 424 «Об утверждении состава рабочей группы по анализу влияния возраста водителей транспортных средств на состояние аварийности на транспорте и подготовке предложений по совершенствованию законодательства в части предоставления указанным работникам льгот, в том числе при назначении страховой пенсии по старости».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