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361н от 2 июня 2021 г.</w:t>
      </w:r>
    </w:p>
    <w:p>
      <w:pPr>
        <w:pStyle w:val="Heading2"/>
        <w:rPr/>
      </w:pPr>
      <w:r>
        <w:rPr/>
        <w:t xml:space="preserve">Об утверждении профессионального стандарта «Столяр судовой»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«Столяр судовой».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25 сентября 2018 г. № 594н «Об утверждении профессионального стандарта «Столяр судовой» (зарегистрирован Министерством юстиции Российской Федерации 12 октября 2018 г., регистрационный № 52425). </w:t>
      </w:r>
    </w:p>
    <w:p>
      <w:pPr>
        <w:pStyle w:val="TextBody"/>
        <w:rPr/>
      </w:pPr>
      <w:r>
        <w:rPr/>
        <w:t>Установить, что настоящий приказ вступает в силу с 1 марта 2022 г. и действует до 1 марта 2028 г.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