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363н от 2 июня 2021 г.</w:t>
      </w:r>
    </w:p>
    <w:p>
      <w:pPr>
        <w:pStyle w:val="Heading2"/>
        <w:rPr/>
      </w:pPr>
      <w:r>
        <w:rPr/>
        <w:t xml:space="preserve">Об утверждении профессионального стандарта «Модельщик по металлическим моделям»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 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«Модельщик по металлическим моделям».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15 февраля 2017 г. № 189н «Об утверждении профессионального стандарта «Модельщик по металлическим моделям» (зарегистрирован Министерством юстиции Российской Федерации 15 марта 2017 г., регистрационный № 45964).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 до 1 марта 2028 г. </w:t>
      </w:r>
    </w:p>
    <w:p>
      <w:pPr>
        <w:pStyle w:val="TextBody"/>
        <w:rPr/>
      </w:pPr>
      <w:r>
        <w:rPr/>
        <w:t> </w:t>
      </w: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