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394н от 10 июня 2021 г.</w:t>
      </w:r>
    </w:p>
    <w:p>
      <w:pPr>
        <w:pStyle w:val="Heading2"/>
        <w:rPr/>
      </w:pPr>
      <w:r>
        <w:rPr/>
        <w:t>Об утверждении профессионального стандарта «Экскурсовод (гид)»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«Экскурсовод (гид)».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4 августа 2014 г. № 539н «Об утверждении профессионального стандарта «Экскурсовод (гид)» (зарегистрирован Министерством юстиции Российской Федерации 1 сентября 2014 г., регистрационный № 33924);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18 марта 2016 г. № 117н «О внесении изменения в профессиональный стандарт «Экскурсовод (гид)», утвержденный приказом Министерства труда и социальной защиты Российской Федерации от 4 августа 2014 г. № 539н» (зарегистрирован Министерством юстиции Российской Федерации 13 апреля 2016 г., регистрационный № 41775);</w:t>
      </w:r>
    </w:p>
    <w:p>
      <w:pPr>
        <w:pStyle w:val="TextBody"/>
        <w:rPr/>
      </w:pPr>
      <w:r>
        <w:rPr/>
        <w:t>пункт 127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