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476н от 15 июля 2021 г.</w:t>
      </w:r>
    </w:p>
    <w:p>
      <w:pPr>
        <w:pStyle w:val="Heading2"/>
        <w:rPr/>
      </w:pPr>
      <w:r>
        <w:rPr/>
        <w:t>Об утверждении профессионального стандарта «Машинист автогрейдера»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«Машинист автогрейдера».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ноября 2014 г. № 932н «Об утверждении профессионального стандарта «Машинист автогрейдера» (зарегистрирован Министерством юстиции Российской Федерации 19 декабря 2014 г., регистрационный № 35270).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Министр</w:t>
      </w:r>
    </w:p>
    <w:p>
      <w:pPr>
        <w:pStyle w:val="TextBody"/>
        <w:spacing w:before="0" w:after="283"/>
        <w:rPr/>
      </w:pPr>
      <w:r>
        <w:rPr/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