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602н от 31 августа 2021 г.</w:t>
      </w:r>
    </w:p>
    <w:p>
      <w:pPr>
        <w:pStyle w:val="Heading2"/>
        <w:rPr/>
      </w:pPr>
      <w:r>
        <w:rPr/>
        <w:t>Об утверждении профессионального стандарта «Инженер-программист оборудования прецизионной металлообработки с программным управлением»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«Инженер-программист оборудования прецизионной металлообработки с программным управлением».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11 февраля 2014 г. № 85н «Об утверждении профессионального стандарта «Инженер-программист оборудования прецизионной металлообработки с программным управлением» (зарегистрирован Министерством юстиции Российской Федерации 18 марта 2014 г., регистрационный № 31638).</w:t>
      </w:r>
    </w:p>
    <w:p>
      <w:pPr>
        <w:pStyle w:val="TextBody"/>
        <w:rPr/>
      </w:pPr>
      <w:r>
        <w:rPr/>
        <w:t>пункт 16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