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759н от 22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маркетинга детских товаров»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маркетинга детских товаров».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26 декабря 2014 г. № 1176н «Об утверждении профессионального стандарта «Специалист в области маркетинга детских товаров» (зарегистрирован Министерством юстиции Российской Федерации 23 января 2015 г., регистрационный № 35690);</w:t>
      </w:r>
    </w:p>
    <w:p>
      <w:pPr>
        <w:pStyle w:val="TextBody"/>
        <w:rPr/>
      </w:pPr>
      <w:r>
        <w:rPr/>
        <w:t>пункт 192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