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679н от 6 октября 2021 г.</w:t>
      </w:r>
    </w:p>
    <w:p>
      <w:pPr>
        <w:pStyle w:val="Heading2"/>
        <w:rPr/>
      </w:pPr>
      <w:r>
        <w:rPr/>
        <w:t>О внесении изменений в Порядок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сведений, утвержденный приказом Министерства труда и социальной защиты Российской Федерации от 14 ноября 2019 г. № 724н</w:t>
      </w:r>
    </w:p>
    <w:p>
      <w:pPr>
        <w:pStyle w:val="TextBody"/>
        <w:rPr/>
      </w:pPr>
      <w:r>
        <w:rPr/>
        <w:t>В соответствии с частью одиннадцатой статьи 15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2021, № 22, ст. 3687)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Порядок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сведений, утвержденный приказом Министерства труда и социальной защиты Российской Федерации от 14 ноября 2019 г. № 724н (зарегистрирован Министерством юстиции Российской Федерации от 17 декабря 2019 г., регистрационный № 56833), с изменениями, внесенными приказом Министерства труда и социальной защиты Российской Федерации от 7 сентября 2020 г. № 568н (зарегистрирован Министерством юстиции Российской Федерации от 9 декабря 2020 г., регистрационный № 61344),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2022 года.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