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656н от 22 сентября 2021 г.</w:t>
      </w:r>
    </w:p>
    <w:p>
      <w:pPr>
        <w:pStyle w:val="Heading2"/>
        <w:rPr/>
      </w:pPr>
      <w:r>
        <w:rPr/>
        <w:t>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</w:t>
      </w:r>
    </w:p>
    <w:p>
      <w:pPr>
        <w:pStyle w:val="TextBody"/>
        <w:rPr/>
      </w:pPr>
      <w:r>
        <w:rPr/>
        <w:t>В соответствии со статьей 214 Трудового кодекса Российской Федерации (Собрание законодательства Российской Федерации, 2002, № 1, ст. 3; 2021, № 27, ст. 5139) и подпунктом 5.2.23(1)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2021, № 42, ст. 7120),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примерный перечень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