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 выполнении пунктов Плана мероприятий по реализации в 2019-2021 годах Стратегии государственной национальной политики Российской Федерации на период до 2025 года</w:t>
      </w:r>
    </w:p>
    <w:p>
      <w:pPr>
        <w:pStyle w:val="Heading2"/>
        <w:spacing w:before="200" w:after="120"/>
        <w:rPr/>
      </w:pPr>
      <w:r>
        <w:rPr/>
        <w:t>Отчет за 2021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