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Пенсионное обеспечение</w:t>
      </w:r>
    </w:p>
    <w:p>
      <w:pPr>
        <w:pStyle w:val="Heading2"/>
        <w:rPr/>
      </w:pPr>
      <w:r>
        <w:rPr/>
        <w:t xml:space="preserve">Информация о пенсионном обеспечении на территории Российской Федерации лиц, вынужденно покинувших территории ДНР, ЛНР и Украины </w:t>
      </w:r>
    </w:p>
    <w:p>
      <w:pPr>
        <w:pStyle w:val="TextBody"/>
        <w:rPr/>
      </w:pPr>
      <w:r>
        <w:rPr/>
        <w:t>В соответствии с законодательством Российской Федерации (Федеральный закон от 28 декабря 2013 г. № 400-ФЗ «О страховых пенсиях»,  Федеральный закон от 15 декабря 2001 г. № 166-ФЗ «О государственном пенсионном обеспечении в Российской Федерации» право на пенсионное обеспечение в Российской Федерации из числа лиц, вынужденно покинувших территории ЛНР, ДНР и Украины и временно размещенных на территории Российской Федерации, имеют:</w:t>
      </w:r>
    </w:p>
    <w:p>
      <w:pPr>
        <w:pStyle w:val="TextBody"/>
        <w:numPr>
          <w:ilvl w:val="0"/>
          <w:numId w:val="1"/>
        </w:numPr>
        <w:tabs>
          <w:tab w:val="left" w:pos="0" w:leader="none"/>
        </w:tabs>
        <w:spacing w:before="0" w:after="0"/>
        <w:ind w:left="707" w:hanging="283"/>
        <w:rPr/>
      </w:pPr>
      <w:r>
        <w:rPr/>
        <w:t xml:space="preserve">граждане Российской Федерации; </w:t>
      </w:r>
    </w:p>
    <w:p>
      <w:pPr>
        <w:pStyle w:val="TextBody"/>
        <w:numPr>
          <w:ilvl w:val="0"/>
          <w:numId w:val="1"/>
        </w:numPr>
        <w:tabs>
          <w:tab w:val="left" w:pos="0" w:leader="none"/>
        </w:tabs>
        <w:spacing w:before="0" w:after="0"/>
        <w:ind w:left="707" w:hanging="283"/>
        <w:rPr/>
      </w:pPr>
      <w:r>
        <w:rPr/>
        <w:t xml:space="preserve">иностранные граждане и лица без гражданства, постоянно проживающие на территории Российской Федерации (имеющие вид на жительство в Российской Федерации); </w:t>
      </w:r>
    </w:p>
    <w:p>
      <w:pPr>
        <w:pStyle w:val="TextBody"/>
        <w:numPr>
          <w:ilvl w:val="0"/>
          <w:numId w:val="1"/>
        </w:numPr>
        <w:tabs>
          <w:tab w:val="left" w:pos="0" w:leader="none"/>
        </w:tabs>
        <w:ind w:left="707" w:hanging="283"/>
        <w:rPr/>
      </w:pPr>
      <w:r>
        <w:rPr/>
        <w:t xml:space="preserve">лица, имеющие статус беженца. </w:t>
      </w:r>
    </w:p>
    <w:p>
      <w:pPr>
        <w:pStyle w:val="TextBody"/>
        <w:rPr/>
      </w:pPr>
      <w:r>
        <w:rPr/>
        <w:t>Пенсионное обеспечение граждан Российской Федерации и Украины, в том числе проживавших на территории ДНР и ЛНР, до признания указанных Республик в качестве суверенных и независимых государств осуществлялось в соответствии с законодательством Российской Федерации в случае их постоянного проживания на территории Российской Федерации с применением положений Соглашения о гарантиях прав граждан государств – участников Содружества Независимых Государств в области пенсионного обеспечения, подписанного в городе Москве 13 марта 1992 г. (далее – Соглашение СНГ), которое как международный договор Российской Федерации является составной частью ее правовой системы согласно положениям части 4 статьи 15 Конституции Российской Федерации.</w:t>
      </w:r>
    </w:p>
    <w:p>
      <w:pPr>
        <w:pStyle w:val="TextBody"/>
        <w:rPr/>
      </w:pPr>
      <w:r>
        <w:rPr/>
        <w:t>Начиная с 21 февраля 2022 года Соглашение СНГ в отношении граждан, проживающих (проживавших) и имеющих стаж работы на территории ДНР и ЛНР, не может применяться, поскольку названные Республики как субъекты международного права не являются подписантами Соглашения СНГ.</w:t>
      </w:r>
    </w:p>
    <w:p>
      <w:pPr>
        <w:pStyle w:val="TextBody"/>
        <w:rPr/>
      </w:pPr>
      <w:r>
        <w:rPr/>
        <w:t>Вместе с тем, принимая во внимание высокую социальную значимость данной проблемы, в целях недопущения снижения уровня пенсионного обеспечения указанной категории граждан при решении рассматриваемого вопроса в отсутствие договорной базы в области пенсионного обеспечения с ДНР и ЛНР представляется необходимым руководствоваться положениями Федерального закона № 400-ФЗ.</w:t>
      </w:r>
    </w:p>
    <w:p>
      <w:pPr>
        <w:pStyle w:val="TextBody"/>
        <w:rPr/>
      </w:pPr>
      <w:r>
        <w:rPr/>
        <w:t>Так, согласно части 8 статьи 13 Федерального закона № 400-ФЗ для определения права на страховую пенсию по старости применяется законодательство, то есть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ведомственные акты федеральных органов исполнительной власти, международные договоры и соглашения, являющиеся источниками права Российской Федерации и составляющие ее правовую систему, действовавшее в период осуществления трудовой деятельности, с применением правил подсчета соответствующего стажа.</w:t>
      </w:r>
    </w:p>
    <w:p>
      <w:pPr>
        <w:pStyle w:val="TextBody"/>
        <w:rPr/>
      </w:pPr>
      <w:r>
        <w:rPr/>
        <w:t>С учетом этого, для определения права на страховую пенсию по законодательству Российской Федерации учитываются периоды работы на территории Украинской ССР, Украины и признанных 21 февраля 2022 года в качестве суверенных и независимых государств ДНР и ЛНР.</w:t>
      </w:r>
    </w:p>
    <w:p>
      <w:pPr>
        <w:pStyle w:val="TextBody"/>
        <w:rPr/>
      </w:pPr>
      <w:r>
        <w:rPr/>
        <w:t>Учитывая изложенное, в отношении граждан Российской Федерации, прибывших с территории ДНР и ЛНР, в стаж работы для определения права на страховую пенсию учитываются периоды, приобретенные на территории Украинской ССР (то есть до 1 января 1991 года), Украины (то есть после 1 января 1991 года), в том числе ДНР, ЛНР, по 20 февраля 2022 года (с учётом вступивших в силу 21 февраля 2022 года Указов Президента Российской Федерации от 21 февраля 2022 года № 71 «О признании Донецкой Народной Республики» и № 72 «О признании Луганской Народной Республики»), а для конвертации пенсионных прав – до 1 января 2002 года, независимо от факта уплаты страховых взносов на обязательное пенсионное страхование в бюджет ПФР.</w:t>
      </w:r>
    </w:p>
    <w:p>
      <w:pPr>
        <w:pStyle w:val="TextBody"/>
        <w:rPr/>
      </w:pPr>
      <w:r>
        <w:rPr/>
        <w:t>В отношении граждан, прибывших в Российскую Федерацию с территории Украины, т.е. не с территории ДНР и ЛНР, применяются положения Соглашения о гарантиях прав граждан государств – участников Содружества Независимых Государств в области пенсионного обеспечения, подписанного в городе Москве 13 марта 1992 года, и законодательства Российской Федерации, т.е. одним из основных условий является подтверждение постоянного проживания на территории Российской Федерации. </w:t>
      </w:r>
    </w:p>
    <w:p>
      <w:pPr>
        <w:pStyle w:val="TextBody"/>
        <w:rPr/>
      </w:pPr>
      <w:r>
        <w:rPr/>
        <w:t>Кроме того лицам, имеющим статус беженца или вынужденного переселенца на территории Российской Федерации, может быть назначена пенсия в соответствии с законодательством Российской Федерации. </w:t>
      </w:r>
    </w:p>
    <w:p>
      <w:pPr>
        <w:pStyle w:val="TextBody"/>
        <w:spacing w:before="0" w:after="283"/>
        <w:rPr/>
      </w:pPr>
      <w:r>
        <w:rPr/>
        <w:t>При этом возможны иные меры социальной поддержки указанных категорий лиц в соответствии с нормами статьи 26.3.1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согласно которым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