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147н от 21 марта 2022 г.</w:t>
      </w:r>
    </w:p>
    <w:p>
      <w:pPr>
        <w:pStyle w:val="Heading2"/>
        <w:rPr/>
      </w:pPr>
      <w:r>
        <w:rPr/>
        <w:t>Об утверждении профессионального стандарта «Оператор прецизионной фотолитографии изделий микроэлектроники»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прецизионной фотолитографии изделий микроэлектроники».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