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145н от 21 марта 2022 г.</w:t>
      </w:r>
    </w:p>
    <w:p>
      <w:pPr>
        <w:pStyle w:val="Heading2"/>
        <w:rPr/>
      </w:pPr>
      <w:r>
        <w:rPr/>
        <w:t>Об утверждении профессионального стандарта «Оператор оборудования глубокой печати»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оборудования глубокой печати».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