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190н от 31 марта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автоматизации и механизации механосборочного производства»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автоматизации и механизации механосборочного производства».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18 июля 2019 г. № 501н «Об утверждении профессионального стандарта «Специалист по автоматизации и механизации технологических процессов термического производства» (зарегистрирован Министерством юстиции Российской Федерации 14 августа 2019 г., регистрационный № 55610).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