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2B" w:rsidRPr="000C1E2B" w:rsidRDefault="000C1E2B" w:rsidP="000C1E2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0C1E2B">
        <w:rPr>
          <w:rFonts w:eastAsia="Times New Roman" w:cstheme="minorHAnsi"/>
          <w:b/>
          <w:bCs/>
          <w:sz w:val="24"/>
          <w:szCs w:val="24"/>
          <w:lang w:eastAsia="ru-RU"/>
        </w:rPr>
        <w:t>Перечень организаций, которые принимали участие в обсуждении документов о формировании независимой системы оценки качества работы организаций, оказывающих социальные услуги:</w:t>
      </w:r>
      <w:r w:rsidRPr="000C1E2B">
        <w:rPr>
          <w:rFonts w:eastAsia="Times New Roman" w:cstheme="minorHAnsi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3"/>
        <w:gridCol w:w="9312"/>
      </w:tblGrid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Агентство стратегических инициатив по продвижению новых проектов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Аналитический центр «Форум»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Ассоциация детских кардиологов России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Благотворительный фонд «Культура детства»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Благотворительный фонд «Старость в радость»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Благотворительный фонд поддержки деятелей искусства «Артист»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Всероссийский союз страховщиков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Всероссийское общество защиты потребителей образовательных услуг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Всероссийское общество инвалидов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10.            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ВЦИОМ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11.            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Государственный музей изобразительных искусств А.С.Пушкина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12.            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Государственный центральный музей современной истории России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13.            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Институт государственного и муниципального управления НИУ ВШЭ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14.            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Институт системного анализа РАН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15.            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Институт социального анализа и прогнозирования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16.            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Институт социальной политики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17.            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Институт экономики города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18.            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Информационное агентство «РИА Новости»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19.            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Исследовательский центр «Циклон»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20.            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Компания, управляющая пансионатами для пожилых людей </w:t>
            </w:r>
            <w:proofErr w:type="spellStart"/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Senior</w:t>
            </w:r>
            <w:proofErr w:type="spellEnd"/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Group</w:t>
            </w:r>
            <w:proofErr w:type="spellEnd"/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21.            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Лига защитников пациентов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22.            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Лига здоровья нации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23.            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МГУ имени М.В.Ломоносова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24.            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Московская государственная академическая филармония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25.            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26.            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Национальная ассамблея в области труда и социальной политики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27.            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Национальный НИИ общественного здоровья РАМН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28.            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НП «Национальная медицинская палата»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29.           </w:t>
            </w: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НП «Синдром ДАУНА»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30.            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Общероссийская общественная организация «Союз социальных педагогов и социальных работников»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31.            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Общероссийская общественная организация инвалидов-больных рассеянным склерозом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32.            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Общественная палата Российской Федерации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33.            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Общественный центр «Судебно-правовой реформы»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34.            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ООО «ИНТАРСИЯ»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35.            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ООО «</w:t>
            </w:r>
            <w:proofErr w:type="spellStart"/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МедСервисПлюс</w:t>
            </w:r>
            <w:proofErr w:type="spellEnd"/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36.            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ОПОРА России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37.            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Квадра</w:t>
            </w:r>
            <w:proofErr w:type="spellEnd"/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- Генерирующая компания»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38.            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Профессиональная гильдия театральных менеджеров России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39.            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Рейтинговое агентство «Эксперт РА»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40.            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Российская академия музыки им. </w:t>
            </w:r>
            <w:proofErr w:type="spellStart"/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Гнесиных</w:t>
            </w:r>
            <w:proofErr w:type="spellEnd"/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41.            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Российская академия наук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42.            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Российская библиотечная ассоциация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43.            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Российская государственная библиотека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44.            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Российская национальная библиотека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45.            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Российский новый университет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46.            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Союз музеев России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47.            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Союз театральных деятелей Российской Федерации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48.            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Торгово-промышленная палата Российской Федерации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49.            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ФГБУК «Государственный музей-заповедник М.А.Шолохова»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50.            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ядерный университет «МИФИ»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51.            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Фонд Общественное Мнение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52.            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Центр гражданского анализа и независимых исследований (ГРАНИ)</w:t>
            </w:r>
          </w:p>
        </w:tc>
      </w:tr>
      <w:tr w:rsidR="000C1E2B" w:rsidRPr="000C1E2B" w:rsidTr="000C1E2B">
        <w:trPr>
          <w:tblCellSpacing w:w="0" w:type="dxa"/>
        </w:trPr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53.            </w:t>
            </w:r>
          </w:p>
        </w:tc>
        <w:tc>
          <w:tcPr>
            <w:tcW w:w="0" w:type="auto"/>
            <w:hideMark/>
          </w:tcPr>
          <w:p w:rsidR="000C1E2B" w:rsidRPr="000C1E2B" w:rsidRDefault="000C1E2B" w:rsidP="000C1E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C1E2B">
              <w:rPr>
                <w:rFonts w:eastAsia="Times New Roman" w:cstheme="minorHAnsi"/>
                <w:sz w:val="24"/>
                <w:szCs w:val="24"/>
                <w:lang w:eastAsia="ru-RU"/>
              </w:rPr>
              <w:t>ЦНИИ организации и информатизации здравоохранения</w:t>
            </w:r>
          </w:p>
        </w:tc>
      </w:tr>
    </w:tbl>
    <w:p w:rsidR="000C1E2B" w:rsidRPr="000C1E2B" w:rsidRDefault="000C1E2B" w:rsidP="000C1E2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ru-RU"/>
        </w:rPr>
      </w:pPr>
      <w:r w:rsidRPr="000C1E2B">
        <w:rPr>
          <w:rFonts w:eastAsia="Times New Roman" w:cstheme="minorHAnsi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C1E2B" w:rsidRPr="000C1E2B" w:rsidTr="000C1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E2B" w:rsidRPr="000C1E2B" w:rsidRDefault="000C1E2B" w:rsidP="000C1E2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0C1E2B" w:rsidRPr="000C1E2B" w:rsidRDefault="000C1E2B" w:rsidP="000C1E2B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ru-RU"/>
        </w:rPr>
      </w:pPr>
      <w:r w:rsidRPr="000C1E2B">
        <w:rPr>
          <w:rFonts w:eastAsia="Times New Roman" w:cstheme="minorHAnsi"/>
          <w:vanish/>
          <w:sz w:val="16"/>
          <w:szCs w:val="16"/>
          <w:lang w:eastAsia="ru-RU"/>
        </w:rPr>
        <w:t>Конец формы</w:t>
      </w:r>
    </w:p>
    <w:p w:rsidR="00BA4552" w:rsidRPr="000C1E2B" w:rsidRDefault="00BA4552">
      <w:pPr>
        <w:rPr>
          <w:rFonts w:cstheme="minorHAnsi"/>
        </w:rPr>
      </w:pPr>
    </w:p>
    <w:sectPr w:rsidR="00BA4552" w:rsidRPr="000C1E2B" w:rsidSect="000C1E2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1E2B"/>
    <w:rsid w:val="000C1E2B"/>
    <w:rsid w:val="00BA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52"/>
  </w:style>
  <w:style w:type="paragraph" w:styleId="1">
    <w:name w:val="heading 1"/>
    <w:basedOn w:val="a"/>
    <w:link w:val="10"/>
    <w:uiPriority w:val="9"/>
    <w:qFormat/>
    <w:rsid w:val="000C1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C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1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1E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1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1E2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rahmatulinvd</dc:creator>
  <cp:lastModifiedBy>rahmatulinvd</cp:lastModifiedBy>
  <cp:revision>1</cp:revision>
  <dcterms:created xsi:type="dcterms:W3CDTF">2013-05-27T10:27:00Z</dcterms:created>
  <dcterms:modified xsi:type="dcterms:W3CDTF">2013-05-27T10:28:00Z</dcterms:modified>
</cp:coreProperties>
</file>