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154" w:rsidRDefault="00027154" w:rsidP="00027154">
      <w:pPr>
        <w:pStyle w:val="ab"/>
        <w:spacing w:after="0"/>
        <w:ind w:right="80"/>
        <w:jc w:val="center"/>
        <w:rPr>
          <w:rStyle w:val="ac"/>
          <w:b/>
          <w:color w:val="000000"/>
          <w:sz w:val="26"/>
          <w:szCs w:val="26"/>
        </w:rPr>
      </w:pPr>
      <w:r w:rsidRPr="00EE0026">
        <w:rPr>
          <w:rStyle w:val="ac"/>
          <w:b/>
          <w:color w:val="000000"/>
          <w:sz w:val="26"/>
          <w:szCs w:val="26"/>
        </w:rPr>
        <w:t>Отчет о выполнении пунктов Плана мероприятий по реализации в 20</w:t>
      </w:r>
      <w:r w:rsidR="00EE0026" w:rsidRPr="00EE0026">
        <w:rPr>
          <w:rStyle w:val="ac"/>
          <w:b/>
          <w:color w:val="000000"/>
          <w:sz w:val="26"/>
          <w:szCs w:val="26"/>
        </w:rPr>
        <w:t>22</w:t>
      </w:r>
      <w:r w:rsidRPr="00EE0026">
        <w:rPr>
          <w:rStyle w:val="ac"/>
          <w:b/>
          <w:color w:val="000000"/>
          <w:sz w:val="26"/>
          <w:szCs w:val="26"/>
        </w:rPr>
        <w:t>-202</w:t>
      </w:r>
      <w:r w:rsidR="00EE0026" w:rsidRPr="00EE0026">
        <w:rPr>
          <w:rStyle w:val="ac"/>
          <w:b/>
          <w:color w:val="000000"/>
          <w:sz w:val="26"/>
          <w:szCs w:val="26"/>
        </w:rPr>
        <w:t>5</w:t>
      </w:r>
      <w:r w:rsidRPr="00EE0026">
        <w:rPr>
          <w:rStyle w:val="ac"/>
          <w:b/>
          <w:color w:val="000000"/>
          <w:sz w:val="26"/>
          <w:szCs w:val="26"/>
        </w:rPr>
        <w:t xml:space="preserve"> годах </w:t>
      </w:r>
      <w:r w:rsidR="002D2993">
        <w:rPr>
          <w:rStyle w:val="ac"/>
          <w:b/>
          <w:color w:val="000000"/>
          <w:sz w:val="26"/>
          <w:szCs w:val="26"/>
        </w:rPr>
        <w:br/>
      </w:r>
      <w:r w:rsidRPr="00EE0026">
        <w:rPr>
          <w:rStyle w:val="ac"/>
          <w:b/>
          <w:color w:val="000000"/>
          <w:sz w:val="26"/>
          <w:szCs w:val="26"/>
        </w:rPr>
        <w:t>Стратегии государственной национальной политики Российской Федерации на период до 2025 года</w:t>
      </w:r>
      <w:r w:rsidR="00EE0026" w:rsidRPr="00EE0026">
        <w:rPr>
          <w:rStyle w:val="ac"/>
          <w:b/>
          <w:color w:val="000000"/>
          <w:sz w:val="26"/>
          <w:szCs w:val="26"/>
        </w:rPr>
        <w:t xml:space="preserve"> </w:t>
      </w:r>
    </w:p>
    <w:p w:rsidR="00BF6530" w:rsidRDefault="00BF6530" w:rsidP="00027154">
      <w:pPr>
        <w:pStyle w:val="ab"/>
        <w:spacing w:after="0"/>
        <w:ind w:right="80"/>
        <w:jc w:val="center"/>
        <w:rPr>
          <w:rStyle w:val="ac"/>
          <w:b/>
          <w:color w:val="000000"/>
          <w:sz w:val="28"/>
          <w:szCs w:val="28"/>
        </w:rPr>
      </w:pPr>
    </w:p>
    <w:tbl>
      <w:tblPr>
        <w:tblStyle w:val="a5"/>
        <w:tblpPr w:leftFromText="180" w:rightFromText="180" w:vertAnchor="text" w:tblpXSpec="outside" w:tblpY="1"/>
        <w:tblOverlap w:val="never"/>
        <w:tblW w:w="15730" w:type="dxa"/>
        <w:tblLayout w:type="fixed"/>
        <w:tblLook w:val="04A0" w:firstRow="1" w:lastRow="0" w:firstColumn="1" w:lastColumn="0" w:noHBand="0" w:noVBand="1"/>
      </w:tblPr>
      <w:tblGrid>
        <w:gridCol w:w="846"/>
        <w:gridCol w:w="850"/>
        <w:gridCol w:w="3685"/>
        <w:gridCol w:w="4537"/>
        <w:gridCol w:w="5812"/>
      </w:tblGrid>
      <w:tr w:rsidR="00545372" w:rsidRPr="0049265E" w:rsidTr="00545372">
        <w:tc>
          <w:tcPr>
            <w:tcW w:w="846" w:type="dxa"/>
          </w:tcPr>
          <w:p w:rsidR="00545372" w:rsidRPr="0049265E" w:rsidRDefault="00545372" w:rsidP="00545372">
            <w:pPr>
              <w:pStyle w:val="ab"/>
              <w:spacing w:after="0"/>
              <w:ind w:right="80"/>
              <w:jc w:val="center"/>
              <w:rPr>
                <w:rStyle w:val="ac"/>
                <w:b/>
                <w:color w:val="000000"/>
              </w:rPr>
            </w:pPr>
            <w:r w:rsidRPr="0049265E">
              <w:rPr>
                <w:rStyle w:val="ac"/>
                <w:b/>
                <w:color w:val="000000"/>
              </w:rPr>
              <w:t>№</w:t>
            </w:r>
            <w:r>
              <w:rPr>
                <w:rStyle w:val="ac"/>
                <w:b/>
                <w:color w:val="000000"/>
              </w:rPr>
              <w:t xml:space="preserve"> п/п</w:t>
            </w:r>
          </w:p>
        </w:tc>
        <w:tc>
          <w:tcPr>
            <w:tcW w:w="850" w:type="dxa"/>
          </w:tcPr>
          <w:p w:rsidR="00545372" w:rsidRPr="0049265E" w:rsidRDefault="00545372" w:rsidP="00545372">
            <w:pPr>
              <w:pStyle w:val="ab"/>
              <w:spacing w:after="0"/>
              <w:ind w:right="80"/>
              <w:jc w:val="center"/>
              <w:rPr>
                <w:rStyle w:val="ac"/>
                <w:b/>
                <w:color w:val="000000"/>
              </w:rPr>
            </w:pPr>
            <w:r>
              <w:rPr>
                <w:rStyle w:val="ac"/>
                <w:b/>
                <w:color w:val="000000"/>
              </w:rPr>
              <w:t>№ пункта</w:t>
            </w:r>
          </w:p>
        </w:tc>
        <w:tc>
          <w:tcPr>
            <w:tcW w:w="3685" w:type="dxa"/>
          </w:tcPr>
          <w:p w:rsidR="00545372" w:rsidRPr="0049265E" w:rsidRDefault="00545372" w:rsidP="00545372">
            <w:pPr>
              <w:pStyle w:val="ab"/>
              <w:spacing w:after="0"/>
              <w:ind w:right="80"/>
              <w:jc w:val="center"/>
              <w:rPr>
                <w:rStyle w:val="ac"/>
                <w:b/>
                <w:color w:val="000000"/>
              </w:rPr>
            </w:pPr>
            <w:r w:rsidRPr="0049265E">
              <w:rPr>
                <w:rStyle w:val="ac"/>
                <w:b/>
                <w:color w:val="000000"/>
              </w:rPr>
              <w:t>Наименование мероприятия</w:t>
            </w:r>
          </w:p>
        </w:tc>
        <w:tc>
          <w:tcPr>
            <w:tcW w:w="4537" w:type="dxa"/>
          </w:tcPr>
          <w:p w:rsidR="00545372" w:rsidRPr="0049265E" w:rsidRDefault="00545372" w:rsidP="00545372">
            <w:pPr>
              <w:pStyle w:val="ab"/>
              <w:spacing w:after="0"/>
              <w:ind w:right="80"/>
              <w:jc w:val="center"/>
              <w:rPr>
                <w:rStyle w:val="ac"/>
                <w:b/>
                <w:color w:val="000000"/>
              </w:rPr>
            </w:pPr>
            <w:r>
              <w:rPr>
                <w:rStyle w:val="ac"/>
                <w:b/>
                <w:color w:val="000000"/>
              </w:rPr>
              <w:t>Информация о проведенном мероприятии (д</w:t>
            </w:r>
            <w:r w:rsidRPr="0049265E">
              <w:rPr>
                <w:rStyle w:val="ac"/>
                <w:b/>
                <w:color w:val="000000"/>
              </w:rPr>
              <w:t>ата, место проведения, краткое описание</w:t>
            </w:r>
            <w:r>
              <w:rPr>
                <w:rStyle w:val="ac"/>
                <w:b/>
                <w:color w:val="000000"/>
              </w:rPr>
              <w:t>)</w:t>
            </w:r>
          </w:p>
        </w:tc>
        <w:tc>
          <w:tcPr>
            <w:tcW w:w="5812" w:type="dxa"/>
          </w:tcPr>
          <w:p w:rsidR="00545372" w:rsidRDefault="00545372" w:rsidP="00545372">
            <w:pPr>
              <w:pStyle w:val="ab"/>
              <w:spacing w:after="0"/>
              <w:ind w:right="80"/>
              <w:jc w:val="center"/>
              <w:rPr>
                <w:rStyle w:val="ac"/>
                <w:b/>
                <w:color w:val="000000"/>
              </w:rPr>
            </w:pPr>
            <w:r w:rsidRPr="0049265E">
              <w:rPr>
                <w:rStyle w:val="ac"/>
                <w:b/>
                <w:color w:val="000000"/>
              </w:rPr>
              <w:t>Индикаторы</w:t>
            </w:r>
            <w:r>
              <w:rPr>
                <w:rStyle w:val="ac"/>
                <w:b/>
                <w:color w:val="000000"/>
              </w:rPr>
              <w:t xml:space="preserve"> </w:t>
            </w:r>
          </w:p>
          <w:p w:rsidR="00545372" w:rsidRPr="0049265E" w:rsidRDefault="00545372" w:rsidP="00545372">
            <w:pPr>
              <w:pStyle w:val="ab"/>
              <w:spacing w:after="0"/>
              <w:ind w:right="80"/>
              <w:jc w:val="center"/>
              <w:rPr>
                <w:rStyle w:val="ac"/>
                <w:b/>
                <w:color w:val="000000"/>
              </w:rPr>
            </w:pPr>
            <w:r>
              <w:rPr>
                <w:rStyle w:val="ac"/>
                <w:b/>
                <w:color w:val="000000"/>
              </w:rPr>
              <w:t xml:space="preserve">(количественные или качественные) для контроля выполнения </w:t>
            </w:r>
          </w:p>
        </w:tc>
      </w:tr>
      <w:tr w:rsidR="00545372" w:rsidRPr="0049265E" w:rsidTr="00545372">
        <w:tc>
          <w:tcPr>
            <w:tcW w:w="846" w:type="dxa"/>
          </w:tcPr>
          <w:p w:rsidR="00545372" w:rsidRPr="0049265E" w:rsidRDefault="00545372" w:rsidP="00545372">
            <w:pPr>
              <w:pStyle w:val="ab"/>
              <w:spacing w:after="0"/>
              <w:ind w:right="80"/>
              <w:jc w:val="both"/>
              <w:rPr>
                <w:rStyle w:val="ac"/>
                <w:color w:val="000000"/>
              </w:rPr>
            </w:pPr>
            <w:r w:rsidRPr="0049265E">
              <w:rPr>
                <w:rStyle w:val="ac"/>
                <w:color w:val="000000"/>
              </w:rPr>
              <w:t>1.</w:t>
            </w:r>
          </w:p>
        </w:tc>
        <w:tc>
          <w:tcPr>
            <w:tcW w:w="850" w:type="dxa"/>
          </w:tcPr>
          <w:p w:rsidR="00545372" w:rsidRPr="0049265E" w:rsidRDefault="00545372" w:rsidP="00545372">
            <w:pPr>
              <w:autoSpaceDE w:val="0"/>
              <w:autoSpaceDN w:val="0"/>
              <w:adjustRightInd w:val="0"/>
              <w:jc w:val="both"/>
              <w:rPr>
                <w:rStyle w:val="ac"/>
                <w:rFonts w:eastAsiaTheme="minorHAnsi"/>
                <w:color w:val="000000"/>
              </w:rPr>
            </w:pPr>
            <w:r>
              <w:rPr>
                <w:rStyle w:val="ac"/>
                <w:rFonts w:eastAsiaTheme="minorHAnsi"/>
                <w:color w:val="000000"/>
              </w:rPr>
              <w:t>1</w:t>
            </w:r>
          </w:p>
        </w:tc>
        <w:tc>
          <w:tcPr>
            <w:tcW w:w="3685" w:type="dxa"/>
          </w:tcPr>
          <w:p w:rsidR="00545372" w:rsidRDefault="00545372" w:rsidP="0054537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Мониторинг обращений граждан о фактах нарушения принципа равенства граждан независимо от расы, национальности, языка, отношения к религии, убеждений, принадлежности к общественным объединениям, а также других обстоятельств, в том числе при приеме на работу, при замещении должностей при формировании кадрового резерва на федеральном и региональном уровнях</w:t>
            </w:r>
          </w:p>
          <w:p w:rsidR="00545372" w:rsidRPr="0049265E" w:rsidRDefault="00545372" w:rsidP="00545372">
            <w:pPr>
              <w:pStyle w:val="ab"/>
              <w:spacing w:after="0"/>
              <w:ind w:right="80"/>
              <w:jc w:val="both"/>
              <w:rPr>
                <w:rStyle w:val="ac"/>
              </w:rPr>
            </w:pPr>
          </w:p>
        </w:tc>
        <w:tc>
          <w:tcPr>
            <w:tcW w:w="4537" w:type="dxa"/>
          </w:tcPr>
          <w:p w:rsidR="00545372" w:rsidRPr="0049265E" w:rsidRDefault="00545372" w:rsidP="00545372">
            <w:pPr>
              <w:pStyle w:val="ab"/>
              <w:spacing w:after="0"/>
              <w:ind w:right="80"/>
              <w:jc w:val="both"/>
              <w:rPr>
                <w:rStyle w:val="ac"/>
              </w:rPr>
            </w:pPr>
            <w:r w:rsidRPr="0049265E">
              <w:rPr>
                <w:rStyle w:val="ac"/>
                <w:color w:val="000000"/>
              </w:rPr>
              <w:t xml:space="preserve">Указанный мониторинг осуществляется в соответствии </w:t>
            </w:r>
            <w:r>
              <w:rPr>
                <w:rStyle w:val="ac"/>
                <w:color w:val="000000"/>
              </w:rPr>
              <w:t xml:space="preserve">с </w:t>
            </w:r>
            <w:r w:rsidRPr="0049265E">
              <w:rPr>
                <w:rStyle w:val="ac"/>
                <w:color w:val="000000"/>
              </w:rPr>
              <w:t>план</w:t>
            </w:r>
            <w:r>
              <w:rPr>
                <w:rStyle w:val="ac"/>
                <w:color w:val="000000"/>
              </w:rPr>
              <w:t>ом</w:t>
            </w:r>
            <w:r w:rsidRPr="0049265E">
              <w:rPr>
                <w:rStyle w:val="ac"/>
                <w:color w:val="000000"/>
              </w:rPr>
              <w:t xml:space="preserve"> мероприятий по реализации в 20</w:t>
            </w:r>
            <w:r>
              <w:rPr>
                <w:rStyle w:val="ac"/>
                <w:color w:val="000000"/>
              </w:rPr>
              <w:t>22</w:t>
            </w:r>
            <w:r w:rsidRPr="0049265E">
              <w:rPr>
                <w:rStyle w:val="ac"/>
                <w:color w:val="000000"/>
              </w:rPr>
              <w:t xml:space="preserve"> – 202</w:t>
            </w:r>
            <w:r>
              <w:rPr>
                <w:rStyle w:val="ac"/>
                <w:color w:val="000000"/>
              </w:rPr>
              <w:t>5</w:t>
            </w:r>
            <w:r w:rsidRPr="0049265E">
              <w:rPr>
                <w:rStyle w:val="ac"/>
                <w:color w:val="000000"/>
              </w:rPr>
              <w:t xml:space="preserve"> годах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w:t>
            </w:r>
          </w:p>
        </w:tc>
        <w:tc>
          <w:tcPr>
            <w:tcW w:w="5812" w:type="dxa"/>
          </w:tcPr>
          <w:p w:rsidR="00545372" w:rsidRDefault="00545372" w:rsidP="00545372">
            <w:pPr>
              <w:pStyle w:val="ab"/>
              <w:spacing w:after="0"/>
              <w:ind w:right="80"/>
              <w:jc w:val="both"/>
              <w:rPr>
                <w:rStyle w:val="ac"/>
                <w:color w:val="000000" w:themeColor="text1"/>
              </w:rPr>
            </w:pPr>
            <w:r w:rsidRPr="0049265E">
              <w:rPr>
                <w:rStyle w:val="ac"/>
                <w:color w:val="000000" w:themeColor="text1"/>
              </w:rPr>
              <w:t>По результатам анализа информации, представленной в Минтруд России государственными органами, в 20</w:t>
            </w:r>
            <w:r>
              <w:rPr>
                <w:rStyle w:val="ac"/>
                <w:color w:val="000000" w:themeColor="text1"/>
              </w:rPr>
              <w:t>22</w:t>
            </w:r>
            <w:r w:rsidRPr="0049265E">
              <w:rPr>
                <w:rStyle w:val="ac"/>
                <w:color w:val="000000" w:themeColor="text1"/>
              </w:rPr>
              <w:t xml:space="preserve"> год</w:t>
            </w:r>
            <w:r>
              <w:rPr>
                <w:rStyle w:val="ac"/>
                <w:color w:val="000000" w:themeColor="text1"/>
              </w:rPr>
              <w:t>у</w:t>
            </w:r>
            <w:r w:rsidRPr="0049265E">
              <w:rPr>
                <w:rStyle w:val="ac"/>
                <w:color w:val="000000" w:themeColor="text1"/>
              </w:rPr>
              <w:t xml:space="preserve"> фактов нарушения </w:t>
            </w:r>
            <w:r>
              <w:rPr>
                <w:rStyle w:val="ac"/>
                <w:color w:val="000000" w:themeColor="text1"/>
              </w:rPr>
              <w:t>принципа равенства не выявлено.</w:t>
            </w:r>
          </w:p>
          <w:p w:rsidR="00545372" w:rsidRPr="0049265E" w:rsidRDefault="00545372" w:rsidP="00545372">
            <w:pPr>
              <w:pStyle w:val="ab"/>
              <w:spacing w:after="0"/>
              <w:ind w:right="80"/>
              <w:jc w:val="both"/>
              <w:rPr>
                <w:rStyle w:val="ac"/>
                <w:color w:val="000000" w:themeColor="text1"/>
              </w:rPr>
            </w:pPr>
            <w:r>
              <w:rPr>
                <w:rStyle w:val="ac"/>
                <w:color w:val="000000" w:themeColor="text1"/>
              </w:rPr>
              <w:t>Кроме того</w:t>
            </w:r>
            <w:r w:rsidRPr="0049265E">
              <w:rPr>
                <w:rStyle w:val="ac"/>
                <w:color w:val="000000" w:themeColor="text1"/>
              </w:rPr>
              <w:t>, обращений граждан по указанной теме не поступало.</w:t>
            </w:r>
          </w:p>
          <w:p w:rsidR="00545372" w:rsidRPr="0049265E" w:rsidRDefault="00545372" w:rsidP="00545372">
            <w:pPr>
              <w:pStyle w:val="ab"/>
              <w:spacing w:after="0"/>
              <w:ind w:right="80"/>
              <w:jc w:val="both"/>
              <w:rPr>
                <w:rStyle w:val="ac"/>
                <w:color w:val="000000" w:themeColor="text1"/>
              </w:rPr>
            </w:pPr>
            <w:r w:rsidRPr="0049265E">
              <w:rPr>
                <w:rStyle w:val="ac"/>
                <w:color w:val="000000" w:themeColor="text1"/>
              </w:rPr>
              <w:t>Вместе с тем в государственные органы поступают обращения граждан по вопросам трудоустройства, в том числе на государственную гражданскую и муниципальную службу. Авторам обращений даются разъяснения положений законодательства, устанавливающих порядок поступления и прохождения государственной гражданской и муниципальной службы.</w:t>
            </w:r>
          </w:p>
          <w:p w:rsidR="00545372" w:rsidRPr="0049265E" w:rsidRDefault="00545372" w:rsidP="00545372">
            <w:pPr>
              <w:autoSpaceDE w:val="0"/>
              <w:autoSpaceDN w:val="0"/>
              <w:adjustRightInd w:val="0"/>
              <w:jc w:val="both"/>
              <w:rPr>
                <w:rStyle w:val="ac"/>
                <w:rFonts w:eastAsiaTheme="minorHAnsi"/>
                <w:color w:val="000000" w:themeColor="text1"/>
              </w:rPr>
            </w:pPr>
            <w:r w:rsidRPr="0049265E">
              <w:rPr>
                <w:rStyle w:val="ac"/>
                <w:rFonts w:eastAsiaTheme="minorHAnsi"/>
                <w:color w:val="000000" w:themeColor="text1"/>
              </w:rPr>
              <w:t>При этом следует отметить, что частью 4 статьи 32 Конституции Российской Федерации установлен принцип равного доступа граждан к государственной служб</w:t>
            </w:r>
            <w:r>
              <w:rPr>
                <w:rStyle w:val="ac"/>
                <w:rFonts w:eastAsiaTheme="minorHAnsi"/>
                <w:color w:val="000000" w:themeColor="text1"/>
              </w:rPr>
              <w:t>е</w:t>
            </w:r>
            <w:r w:rsidRPr="0049265E">
              <w:rPr>
                <w:rStyle w:val="ac"/>
                <w:rFonts w:eastAsiaTheme="minorHAnsi"/>
                <w:color w:val="000000" w:themeColor="text1"/>
              </w:rPr>
              <w:t xml:space="preserve">. </w:t>
            </w:r>
            <w:r w:rsidRPr="0049265E">
              <w:rPr>
                <w:rFonts w:ascii="Times New Roman" w:hAnsi="Times New Roman" w:cs="Times New Roman"/>
                <w:color w:val="000000" w:themeColor="text1"/>
                <w:sz w:val="24"/>
                <w:szCs w:val="24"/>
              </w:rPr>
              <w:t>Из этого вытекает, что при поступлении и прохождении государственной службы всех видов запрещена любая дискриминация по признакам пола, социальной, расовой, национальной, языковой или религиозной принадлежности. Данные положения имеют основополагающее значение для функционирования как отдельных видов государственной службы, так и муниципальной службы, в связи с чем они закреплены в соответствующих нормативных правовых актах.</w:t>
            </w:r>
          </w:p>
        </w:tc>
      </w:tr>
      <w:tr w:rsidR="00545372" w:rsidRPr="0049265E" w:rsidTr="00545372">
        <w:tc>
          <w:tcPr>
            <w:tcW w:w="846" w:type="dxa"/>
          </w:tcPr>
          <w:p w:rsidR="00545372" w:rsidRPr="0049265E" w:rsidRDefault="00545372" w:rsidP="00545372">
            <w:pPr>
              <w:pStyle w:val="ab"/>
              <w:spacing w:after="0"/>
              <w:ind w:right="80"/>
              <w:jc w:val="both"/>
              <w:rPr>
                <w:rStyle w:val="ac"/>
                <w:color w:val="000000"/>
              </w:rPr>
            </w:pPr>
            <w:r w:rsidRPr="0049265E">
              <w:rPr>
                <w:rStyle w:val="ac"/>
                <w:color w:val="000000"/>
              </w:rPr>
              <w:t xml:space="preserve">2. </w:t>
            </w:r>
          </w:p>
        </w:tc>
        <w:tc>
          <w:tcPr>
            <w:tcW w:w="850" w:type="dxa"/>
          </w:tcPr>
          <w:p w:rsidR="00545372" w:rsidRDefault="00545372" w:rsidP="00545372">
            <w:pPr>
              <w:autoSpaceDE w:val="0"/>
              <w:autoSpaceDN w:val="0"/>
              <w:adjustRightInd w:val="0"/>
              <w:jc w:val="both"/>
              <w:rPr>
                <w:rStyle w:val="ac"/>
                <w:rFonts w:eastAsiaTheme="minorHAnsi"/>
                <w:color w:val="000000"/>
              </w:rPr>
            </w:pPr>
            <w:r>
              <w:rPr>
                <w:rStyle w:val="ac"/>
                <w:rFonts w:eastAsiaTheme="minorHAnsi"/>
                <w:color w:val="000000"/>
              </w:rPr>
              <w:t>81</w:t>
            </w:r>
          </w:p>
        </w:tc>
        <w:tc>
          <w:tcPr>
            <w:tcW w:w="3685" w:type="dxa"/>
          </w:tcPr>
          <w:p w:rsidR="00545372" w:rsidRPr="0012485A" w:rsidRDefault="00545372" w:rsidP="00545372">
            <w:pPr>
              <w:autoSpaceDE w:val="0"/>
              <w:autoSpaceDN w:val="0"/>
              <w:adjustRightInd w:val="0"/>
              <w:jc w:val="both"/>
              <w:rPr>
                <w:rFonts w:ascii="Times New Roman" w:hAnsi="Times New Roman" w:cs="Times New Roman"/>
                <w:bCs/>
                <w:sz w:val="24"/>
                <w:szCs w:val="24"/>
              </w:rPr>
            </w:pPr>
            <w:r w:rsidRPr="0012485A">
              <w:rPr>
                <w:rFonts w:ascii="Times New Roman" w:hAnsi="Times New Roman" w:cs="Times New Roman"/>
                <w:bCs/>
                <w:sz w:val="24"/>
                <w:szCs w:val="24"/>
              </w:rPr>
              <w:t xml:space="preserve">Дополнительное профессиональное образование федеральных государственных гражданских служащих, к полномочиям которых отнесены вопросы реализации государственной национальной политики, по направлениям </w:t>
            </w:r>
            <w:r>
              <w:rPr>
                <w:rFonts w:ascii="Times New Roman" w:hAnsi="Times New Roman" w:cs="Times New Roman"/>
                <w:bCs/>
                <w:sz w:val="24"/>
                <w:szCs w:val="24"/>
              </w:rPr>
              <w:t>«</w:t>
            </w:r>
            <w:r w:rsidRPr="0012485A">
              <w:rPr>
                <w:rFonts w:ascii="Times New Roman" w:hAnsi="Times New Roman" w:cs="Times New Roman"/>
                <w:bCs/>
                <w:sz w:val="24"/>
                <w:szCs w:val="24"/>
              </w:rPr>
              <w:t>Государственная политика в области обеспечения национальной безопасности</w:t>
            </w:r>
            <w:r>
              <w:rPr>
                <w:rFonts w:ascii="Times New Roman" w:hAnsi="Times New Roman" w:cs="Times New Roman"/>
                <w:bCs/>
                <w:sz w:val="24"/>
                <w:szCs w:val="24"/>
              </w:rPr>
              <w:t>» и «</w:t>
            </w:r>
            <w:r w:rsidRPr="0012485A">
              <w:rPr>
                <w:rFonts w:ascii="Times New Roman" w:hAnsi="Times New Roman" w:cs="Times New Roman"/>
                <w:bCs/>
                <w:sz w:val="24"/>
                <w:szCs w:val="24"/>
              </w:rPr>
              <w:t>Государственная национальная политика</w:t>
            </w:r>
            <w:r>
              <w:rPr>
                <w:rFonts w:ascii="Times New Roman" w:hAnsi="Times New Roman" w:cs="Times New Roman"/>
                <w:bCs/>
                <w:sz w:val="24"/>
                <w:szCs w:val="24"/>
              </w:rPr>
              <w:t>»</w:t>
            </w:r>
          </w:p>
          <w:p w:rsidR="00545372" w:rsidRPr="0049265E" w:rsidRDefault="00545372" w:rsidP="00545372">
            <w:pPr>
              <w:pStyle w:val="ab"/>
              <w:spacing w:after="0"/>
              <w:ind w:right="80"/>
              <w:jc w:val="both"/>
              <w:rPr>
                <w:rStyle w:val="ac"/>
                <w:color w:val="000000"/>
              </w:rPr>
            </w:pPr>
          </w:p>
        </w:tc>
        <w:tc>
          <w:tcPr>
            <w:tcW w:w="4537" w:type="dxa"/>
          </w:tcPr>
          <w:p w:rsidR="00545372" w:rsidRPr="0049265E" w:rsidRDefault="00545372" w:rsidP="00545372">
            <w:pPr>
              <w:pStyle w:val="ab"/>
              <w:spacing w:after="0"/>
              <w:ind w:right="80"/>
              <w:jc w:val="both"/>
              <w:rPr>
                <w:rStyle w:val="ac"/>
                <w:color w:val="000000"/>
              </w:rPr>
            </w:pPr>
            <w:r>
              <w:rPr>
                <w:rStyle w:val="ac"/>
                <w:color w:val="000000"/>
              </w:rPr>
              <w:t xml:space="preserve">Обучение по программам повышения квалификации «Основные направления и механизмы реализации государственной национальной политики Российской Федерации» и </w:t>
            </w:r>
            <w:r w:rsidRPr="0049265E">
              <w:rPr>
                <w:rStyle w:val="ac"/>
                <w:color w:val="000000"/>
              </w:rPr>
              <w:t>«Реализация государственной национальной политики в Российской Федерации»</w:t>
            </w:r>
            <w:r>
              <w:rPr>
                <w:rStyle w:val="ac"/>
                <w:color w:val="000000"/>
              </w:rPr>
              <w:t xml:space="preserve"> в рамках приоритетного направления «Реализация национальной политики», а также по программе «Вопросы обеспечения национальной безопасности Российской Федерации и реализации стратегических национальных приоритетов» в рамках приоритетного направления «Обеспечение обороны и безопасности Российской </w:t>
            </w:r>
            <w:r>
              <w:rPr>
                <w:rStyle w:val="ac"/>
                <w:caps/>
                <w:color w:val="000000"/>
              </w:rPr>
              <w:t>Ф</w:t>
            </w:r>
            <w:r>
              <w:rPr>
                <w:rStyle w:val="ac"/>
                <w:color w:val="000000"/>
              </w:rPr>
              <w:t>едерации</w:t>
            </w:r>
            <w:r>
              <w:rPr>
                <w:rStyle w:val="ac"/>
                <w:caps/>
                <w:color w:val="000000"/>
              </w:rPr>
              <w:t>»</w:t>
            </w:r>
            <w:r>
              <w:rPr>
                <w:rStyle w:val="ac"/>
                <w:color w:val="000000"/>
              </w:rPr>
              <w:t xml:space="preserve"> были организованы </w:t>
            </w:r>
            <w:r w:rsidRPr="0049265E">
              <w:rPr>
                <w:rStyle w:val="ac"/>
                <w:color w:val="000000"/>
              </w:rPr>
              <w:t>Российск</w:t>
            </w:r>
            <w:r>
              <w:rPr>
                <w:rStyle w:val="ac"/>
                <w:color w:val="000000"/>
              </w:rPr>
              <w:t>ой</w:t>
            </w:r>
            <w:r w:rsidRPr="0049265E">
              <w:rPr>
                <w:rStyle w:val="ac"/>
                <w:color w:val="000000"/>
              </w:rPr>
              <w:t xml:space="preserve"> академи</w:t>
            </w:r>
            <w:r>
              <w:rPr>
                <w:rStyle w:val="ac"/>
                <w:color w:val="000000"/>
              </w:rPr>
              <w:t>ей</w:t>
            </w:r>
            <w:r w:rsidRPr="0049265E">
              <w:rPr>
                <w:rStyle w:val="ac"/>
                <w:color w:val="000000"/>
              </w:rPr>
              <w:t xml:space="preserve"> народного хозяйства и государственной службы при Президенте Российской Федерации в </w:t>
            </w:r>
            <w:r>
              <w:rPr>
                <w:rStyle w:val="ac"/>
                <w:color w:val="000000"/>
              </w:rPr>
              <w:t xml:space="preserve">периоды </w:t>
            </w:r>
            <w:r w:rsidRPr="0049265E">
              <w:rPr>
                <w:rStyle w:val="ac"/>
                <w:color w:val="000000"/>
              </w:rPr>
              <w:t>2</w:t>
            </w:r>
            <w:r>
              <w:rPr>
                <w:rStyle w:val="ac"/>
                <w:color w:val="000000"/>
              </w:rPr>
              <w:t>6</w:t>
            </w:r>
            <w:r w:rsidRPr="0049265E">
              <w:rPr>
                <w:rStyle w:val="ac"/>
                <w:color w:val="000000"/>
              </w:rPr>
              <w:t xml:space="preserve"> – </w:t>
            </w:r>
            <w:r>
              <w:rPr>
                <w:rStyle w:val="ac"/>
                <w:color w:val="000000"/>
              </w:rPr>
              <w:t>30</w:t>
            </w:r>
            <w:r w:rsidRPr="0049265E">
              <w:rPr>
                <w:rStyle w:val="ac"/>
                <w:color w:val="000000"/>
              </w:rPr>
              <w:t xml:space="preserve"> </w:t>
            </w:r>
            <w:r>
              <w:rPr>
                <w:rStyle w:val="ac"/>
                <w:color w:val="000000"/>
              </w:rPr>
              <w:t>сентября</w:t>
            </w:r>
            <w:r w:rsidRPr="0049265E">
              <w:rPr>
                <w:rStyle w:val="ac"/>
                <w:color w:val="000000"/>
              </w:rPr>
              <w:t xml:space="preserve"> 202</w:t>
            </w:r>
            <w:r>
              <w:rPr>
                <w:rStyle w:val="ac"/>
                <w:color w:val="000000"/>
              </w:rPr>
              <w:t>2 г., 21</w:t>
            </w:r>
            <w:r w:rsidRPr="0049265E">
              <w:rPr>
                <w:rStyle w:val="ac"/>
                <w:color w:val="000000"/>
              </w:rPr>
              <w:t xml:space="preserve"> – </w:t>
            </w:r>
            <w:r>
              <w:rPr>
                <w:rStyle w:val="ac"/>
                <w:color w:val="000000"/>
              </w:rPr>
              <w:t>25</w:t>
            </w:r>
            <w:r w:rsidRPr="0049265E">
              <w:rPr>
                <w:rStyle w:val="ac"/>
                <w:color w:val="000000"/>
              </w:rPr>
              <w:t xml:space="preserve"> </w:t>
            </w:r>
            <w:r>
              <w:rPr>
                <w:rStyle w:val="ac"/>
                <w:color w:val="000000"/>
              </w:rPr>
              <w:t>ноября</w:t>
            </w:r>
            <w:r w:rsidRPr="0049265E">
              <w:rPr>
                <w:rStyle w:val="ac"/>
                <w:color w:val="000000"/>
              </w:rPr>
              <w:t xml:space="preserve"> 202</w:t>
            </w:r>
            <w:r>
              <w:rPr>
                <w:rStyle w:val="ac"/>
                <w:color w:val="000000"/>
              </w:rPr>
              <w:t>2</w:t>
            </w:r>
            <w:r w:rsidRPr="0049265E">
              <w:rPr>
                <w:rStyle w:val="ac"/>
                <w:color w:val="000000"/>
              </w:rPr>
              <w:t> г.</w:t>
            </w:r>
            <w:r>
              <w:rPr>
                <w:rStyle w:val="ac"/>
                <w:color w:val="000000"/>
              </w:rPr>
              <w:t xml:space="preserve"> и </w:t>
            </w:r>
            <w:r w:rsidRPr="006B4567">
              <w:rPr>
                <w:rStyle w:val="ac"/>
                <w:color w:val="000000"/>
              </w:rPr>
              <w:t xml:space="preserve">24 – 28 </w:t>
            </w:r>
            <w:r>
              <w:rPr>
                <w:rStyle w:val="ac"/>
                <w:color w:val="000000"/>
              </w:rPr>
              <w:t>октября 2022 г. соответственно.</w:t>
            </w:r>
          </w:p>
          <w:p w:rsidR="00545372" w:rsidRPr="0049265E" w:rsidRDefault="00545372" w:rsidP="00545372">
            <w:pPr>
              <w:pStyle w:val="ab"/>
              <w:spacing w:after="0"/>
              <w:ind w:right="80"/>
              <w:jc w:val="both"/>
              <w:rPr>
                <w:rStyle w:val="ac"/>
                <w:color w:val="000000"/>
              </w:rPr>
            </w:pPr>
            <w:r w:rsidRPr="0049265E">
              <w:rPr>
                <w:rStyle w:val="ac"/>
                <w:color w:val="000000"/>
              </w:rPr>
              <w:t>Изучение комплексного ис</w:t>
            </w:r>
            <w:bookmarkStart w:id="0" w:name="_GoBack"/>
            <w:bookmarkEnd w:id="0"/>
            <w:r w:rsidRPr="0049265E">
              <w:rPr>
                <w:rStyle w:val="ac"/>
                <w:color w:val="000000"/>
              </w:rPr>
              <w:t>пользования правовых, социальных, образовательных, информационных ресурсов в области реализации национальной политики Российской Федерации позвол</w:t>
            </w:r>
            <w:r>
              <w:rPr>
                <w:rStyle w:val="ac"/>
                <w:color w:val="000000"/>
              </w:rPr>
              <w:t>яет</w:t>
            </w:r>
            <w:r w:rsidRPr="0049265E">
              <w:rPr>
                <w:rStyle w:val="ac"/>
                <w:color w:val="000000"/>
              </w:rPr>
              <w:t xml:space="preserve">: </w:t>
            </w:r>
          </w:p>
          <w:p w:rsidR="00545372" w:rsidRPr="0049265E" w:rsidRDefault="00545372" w:rsidP="00545372">
            <w:pPr>
              <w:pStyle w:val="ab"/>
              <w:spacing w:after="0"/>
              <w:ind w:right="80"/>
              <w:rPr>
                <w:rStyle w:val="ac"/>
                <w:color w:val="000000"/>
              </w:rPr>
            </w:pPr>
            <w:r>
              <w:rPr>
                <w:rStyle w:val="ac"/>
                <w:color w:val="000000"/>
              </w:rPr>
              <w:t xml:space="preserve">- </w:t>
            </w:r>
            <w:r w:rsidRPr="0049265E">
              <w:rPr>
                <w:rStyle w:val="ac"/>
                <w:color w:val="000000"/>
              </w:rPr>
              <w:t xml:space="preserve">сформировать специалистов, обладающих определенным комплексом ключевых компетенций и способных не только эффективно выполнять свои должностные обязанности, но и активно и инициативно совершенствовать все элементы системы государственной службы Российской Федерации; </w:t>
            </w:r>
          </w:p>
          <w:p w:rsidR="00545372" w:rsidRPr="0049265E" w:rsidRDefault="00545372" w:rsidP="00545372">
            <w:pPr>
              <w:pStyle w:val="ab"/>
              <w:spacing w:after="0"/>
              <w:ind w:right="80"/>
              <w:rPr>
                <w:rStyle w:val="ac"/>
                <w:color w:val="000000"/>
              </w:rPr>
            </w:pPr>
            <w:r>
              <w:rPr>
                <w:rStyle w:val="ac"/>
                <w:color w:val="000000"/>
              </w:rPr>
              <w:t xml:space="preserve">- </w:t>
            </w:r>
            <w:r w:rsidRPr="0049265E">
              <w:rPr>
                <w:rStyle w:val="ac"/>
                <w:color w:val="000000"/>
              </w:rPr>
              <w:t>подготовить высококвалифицированных, компетентных руководителей и специалистов, обладающих современными знаниями, умениями и навыками, необходимыми для осуществления эффективной профессиональной деятельности в области реализации национальной политики Российской Федерации.</w:t>
            </w:r>
          </w:p>
        </w:tc>
        <w:tc>
          <w:tcPr>
            <w:tcW w:w="5812" w:type="dxa"/>
          </w:tcPr>
          <w:p w:rsidR="00545372" w:rsidRDefault="00545372" w:rsidP="00545372">
            <w:pPr>
              <w:autoSpaceDE w:val="0"/>
              <w:autoSpaceDN w:val="0"/>
              <w:adjustRightInd w:val="0"/>
              <w:jc w:val="both"/>
              <w:rPr>
                <w:rStyle w:val="ac"/>
                <w:rFonts w:eastAsiaTheme="minorHAnsi"/>
                <w:color w:val="000000"/>
              </w:rPr>
            </w:pPr>
            <w:r>
              <w:rPr>
                <w:rStyle w:val="ac"/>
                <w:rFonts w:eastAsiaTheme="minorHAnsi"/>
                <w:color w:val="000000"/>
              </w:rPr>
              <w:t>В 2022 году обучение прошли:</w:t>
            </w:r>
          </w:p>
          <w:p w:rsidR="00545372" w:rsidRDefault="00545372" w:rsidP="00545372">
            <w:pPr>
              <w:autoSpaceDE w:val="0"/>
              <w:autoSpaceDN w:val="0"/>
              <w:adjustRightInd w:val="0"/>
              <w:jc w:val="both"/>
              <w:rPr>
                <w:rStyle w:val="ac"/>
                <w:rFonts w:eastAsiaTheme="minorHAnsi"/>
                <w:color w:val="000000"/>
              </w:rPr>
            </w:pPr>
            <w:r>
              <w:rPr>
                <w:rStyle w:val="ac"/>
                <w:rFonts w:eastAsiaTheme="minorHAnsi"/>
                <w:color w:val="000000"/>
              </w:rPr>
              <w:t xml:space="preserve">181 </w:t>
            </w:r>
            <w:r w:rsidRPr="0049265E">
              <w:rPr>
                <w:rStyle w:val="ac"/>
                <w:rFonts w:eastAsiaTheme="minorHAnsi"/>
                <w:color w:val="000000"/>
              </w:rPr>
              <w:t xml:space="preserve">федеральных государственных гражданских служащих </w:t>
            </w:r>
            <w:r>
              <w:rPr>
                <w:rStyle w:val="ac"/>
                <w:rFonts w:eastAsiaTheme="minorHAnsi"/>
                <w:color w:val="000000"/>
              </w:rPr>
              <w:t xml:space="preserve">по программам </w:t>
            </w:r>
            <w:r w:rsidRPr="0049265E">
              <w:rPr>
                <w:rStyle w:val="ac"/>
                <w:rFonts w:eastAsiaTheme="minorHAnsi"/>
                <w:color w:val="000000"/>
              </w:rPr>
              <w:t>повышени</w:t>
            </w:r>
            <w:r>
              <w:rPr>
                <w:rStyle w:val="ac"/>
                <w:rFonts w:eastAsiaTheme="minorHAnsi"/>
                <w:color w:val="000000"/>
              </w:rPr>
              <w:t>я</w:t>
            </w:r>
            <w:r w:rsidRPr="0049265E">
              <w:rPr>
                <w:rStyle w:val="ac"/>
                <w:rFonts w:eastAsiaTheme="minorHAnsi"/>
                <w:color w:val="000000"/>
              </w:rPr>
              <w:t xml:space="preserve"> квалификации</w:t>
            </w:r>
            <w:r>
              <w:rPr>
                <w:rStyle w:val="ac"/>
                <w:rFonts w:eastAsiaTheme="minorHAnsi"/>
                <w:color w:val="000000"/>
              </w:rPr>
              <w:t xml:space="preserve"> объемом 36 часов (очно на территории РАНХиГС)</w:t>
            </w:r>
            <w:r w:rsidRPr="0049265E">
              <w:rPr>
                <w:rStyle w:val="ac"/>
                <w:rFonts w:eastAsiaTheme="minorHAnsi"/>
                <w:color w:val="000000"/>
              </w:rPr>
              <w:t xml:space="preserve">, </w:t>
            </w:r>
            <w:r w:rsidRPr="00214085">
              <w:rPr>
                <w:rFonts w:ascii="Times New Roman" w:hAnsi="Times New Roman" w:cs="Times New Roman"/>
                <w:sz w:val="24"/>
                <w:szCs w:val="24"/>
              </w:rPr>
              <w:t>в пределах средств, предусмотренных в федеральном бюджете</w:t>
            </w:r>
            <w:r>
              <w:rPr>
                <w:rFonts w:ascii="Times New Roman" w:hAnsi="Times New Roman" w:cs="Times New Roman"/>
                <w:sz w:val="24"/>
                <w:szCs w:val="24"/>
              </w:rPr>
              <w:t>:</w:t>
            </w:r>
          </w:p>
          <w:p w:rsidR="00545372" w:rsidRDefault="00545372" w:rsidP="00545372">
            <w:pPr>
              <w:autoSpaceDE w:val="0"/>
              <w:autoSpaceDN w:val="0"/>
              <w:adjustRightInd w:val="0"/>
              <w:jc w:val="both"/>
              <w:rPr>
                <w:rStyle w:val="ac"/>
                <w:rFonts w:eastAsiaTheme="minorHAnsi"/>
                <w:color w:val="000000"/>
              </w:rPr>
            </w:pPr>
            <w:r>
              <w:rPr>
                <w:rStyle w:val="ac"/>
                <w:rFonts w:eastAsiaTheme="minorHAnsi"/>
                <w:color w:val="000000"/>
              </w:rPr>
              <w:t>31</w:t>
            </w:r>
            <w:r w:rsidRPr="0049265E">
              <w:rPr>
                <w:rStyle w:val="ac"/>
                <w:rFonts w:eastAsiaTheme="minorHAnsi"/>
                <w:color w:val="000000"/>
              </w:rPr>
              <w:t xml:space="preserve"> – </w:t>
            </w:r>
            <w:r>
              <w:rPr>
                <w:rStyle w:val="ac"/>
                <w:rFonts w:eastAsiaTheme="minorHAnsi"/>
                <w:color w:val="000000"/>
              </w:rPr>
              <w:t>категории «</w:t>
            </w:r>
            <w:r w:rsidRPr="0049265E">
              <w:rPr>
                <w:rStyle w:val="ac"/>
                <w:rFonts w:eastAsiaTheme="minorHAnsi"/>
                <w:color w:val="000000"/>
              </w:rPr>
              <w:t>руководители</w:t>
            </w:r>
            <w:r>
              <w:rPr>
                <w:rStyle w:val="ac"/>
                <w:rFonts w:eastAsiaTheme="minorHAnsi"/>
                <w:color w:val="000000"/>
              </w:rPr>
              <w:t>» высшей и главной групп должностей;</w:t>
            </w:r>
            <w:r w:rsidRPr="0049265E">
              <w:rPr>
                <w:rStyle w:val="ac"/>
                <w:rFonts w:eastAsiaTheme="minorHAnsi"/>
                <w:color w:val="000000"/>
              </w:rPr>
              <w:t xml:space="preserve"> </w:t>
            </w:r>
            <w:r>
              <w:rPr>
                <w:rStyle w:val="ac"/>
                <w:rFonts w:eastAsiaTheme="minorHAnsi"/>
                <w:color w:val="000000"/>
              </w:rPr>
              <w:t>150</w:t>
            </w:r>
            <w:r w:rsidRPr="0049265E">
              <w:rPr>
                <w:rStyle w:val="ac"/>
                <w:rFonts w:eastAsiaTheme="minorHAnsi"/>
                <w:color w:val="000000"/>
              </w:rPr>
              <w:t xml:space="preserve"> – иные категории </w:t>
            </w:r>
            <w:r>
              <w:rPr>
                <w:rStyle w:val="ac"/>
                <w:rFonts w:eastAsiaTheme="minorHAnsi"/>
                <w:color w:val="000000"/>
              </w:rPr>
              <w:t>должностей федеральной государственной гражданской службы;</w:t>
            </w:r>
          </w:p>
          <w:p w:rsidR="00545372" w:rsidRPr="0049265E" w:rsidRDefault="00545372" w:rsidP="00545372">
            <w:pPr>
              <w:autoSpaceDE w:val="0"/>
              <w:autoSpaceDN w:val="0"/>
              <w:adjustRightInd w:val="0"/>
              <w:jc w:val="both"/>
              <w:rPr>
                <w:rStyle w:val="ac"/>
                <w:rFonts w:eastAsiaTheme="minorHAnsi"/>
                <w:color w:val="000000"/>
              </w:rPr>
            </w:pPr>
          </w:p>
        </w:tc>
      </w:tr>
    </w:tbl>
    <w:p w:rsidR="006E627C" w:rsidRPr="00875285" w:rsidRDefault="006E627C" w:rsidP="00545372">
      <w:pPr>
        <w:pStyle w:val="ab"/>
        <w:spacing w:after="0"/>
        <w:ind w:right="80"/>
        <w:jc w:val="both"/>
        <w:rPr>
          <w:sz w:val="16"/>
          <w:szCs w:val="20"/>
        </w:rPr>
      </w:pPr>
    </w:p>
    <w:sectPr w:rsidR="006E627C" w:rsidRPr="00875285" w:rsidSect="00875285">
      <w:headerReference w:type="default" r:id="rId8"/>
      <w:pgSz w:w="16838" w:h="11906" w:orient="landscape"/>
      <w:pgMar w:top="1134" w:right="709" w:bottom="567" w:left="426"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929" w:rsidRDefault="007A7929" w:rsidP="00466B1C">
      <w:pPr>
        <w:spacing w:after="0" w:line="240" w:lineRule="auto"/>
      </w:pPr>
      <w:r>
        <w:separator/>
      </w:r>
    </w:p>
  </w:endnote>
  <w:endnote w:type="continuationSeparator" w:id="0">
    <w:p w:rsidR="007A7929" w:rsidRDefault="007A7929" w:rsidP="0046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Times New Roman"/>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929" w:rsidRDefault="007A7929" w:rsidP="00466B1C">
      <w:pPr>
        <w:spacing w:after="0" w:line="240" w:lineRule="auto"/>
      </w:pPr>
      <w:r>
        <w:separator/>
      </w:r>
    </w:p>
  </w:footnote>
  <w:footnote w:type="continuationSeparator" w:id="0">
    <w:p w:rsidR="007A7929" w:rsidRDefault="007A7929" w:rsidP="00466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157988286"/>
      <w:docPartObj>
        <w:docPartGallery w:val="Page Numbers (Top of Page)"/>
        <w:docPartUnique/>
      </w:docPartObj>
    </w:sdtPr>
    <w:sdtEndPr>
      <w:rPr>
        <w:sz w:val="24"/>
      </w:rPr>
    </w:sdtEndPr>
    <w:sdtContent>
      <w:p w:rsidR="00466B1C" w:rsidRPr="005029DC" w:rsidRDefault="00466B1C">
        <w:pPr>
          <w:pStyle w:val="a6"/>
          <w:jc w:val="center"/>
          <w:rPr>
            <w:rFonts w:ascii="Times New Roman" w:hAnsi="Times New Roman" w:cs="Times New Roman"/>
            <w:sz w:val="24"/>
            <w:szCs w:val="28"/>
          </w:rPr>
        </w:pPr>
        <w:r w:rsidRPr="005029DC">
          <w:rPr>
            <w:rFonts w:ascii="Times New Roman" w:hAnsi="Times New Roman" w:cs="Times New Roman"/>
            <w:sz w:val="24"/>
            <w:szCs w:val="28"/>
          </w:rPr>
          <w:fldChar w:fldCharType="begin"/>
        </w:r>
        <w:r w:rsidRPr="005029DC">
          <w:rPr>
            <w:rFonts w:ascii="Times New Roman" w:hAnsi="Times New Roman" w:cs="Times New Roman"/>
            <w:sz w:val="24"/>
            <w:szCs w:val="28"/>
          </w:rPr>
          <w:instrText>PAGE   \* MERGEFORMAT</w:instrText>
        </w:r>
        <w:r w:rsidRPr="005029DC">
          <w:rPr>
            <w:rFonts w:ascii="Times New Roman" w:hAnsi="Times New Roman" w:cs="Times New Roman"/>
            <w:sz w:val="24"/>
            <w:szCs w:val="28"/>
          </w:rPr>
          <w:fldChar w:fldCharType="separate"/>
        </w:r>
        <w:r w:rsidR="00545372">
          <w:rPr>
            <w:rFonts w:ascii="Times New Roman" w:hAnsi="Times New Roman" w:cs="Times New Roman"/>
            <w:noProof/>
            <w:sz w:val="24"/>
            <w:szCs w:val="28"/>
          </w:rPr>
          <w:t>2</w:t>
        </w:r>
        <w:r w:rsidRPr="005029DC">
          <w:rPr>
            <w:rFonts w:ascii="Times New Roman" w:hAnsi="Times New Roman" w:cs="Times New Roman"/>
            <w:sz w:val="24"/>
            <w:szCs w:val="28"/>
          </w:rPr>
          <w:fldChar w:fldCharType="end"/>
        </w:r>
      </w:p>
    </w:sdtContent>
  </w:sdt>
  <w:p w:rsidR="00466B1C" w:rsidRDefault="00466B1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C2C62"/>
    <w:multiLevelType w:val="hybridMultilevel"/>
    <w:tmpl w:val="DF205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12619"/>
    <w:rsid w:val="00013D8F"/>
    <w:rsid w:val="00027154"/>
    <w:rsid w:val="00036C1F"/>
    <w:rsid w:val="00045EEF"/>
    <w:rsid w:val="000613A7"/>
    <w:rsid w:val="00065AD7"/>
    <w:rsid w:val="000742B5"/>
    <w:rsid w:val="00075A6D"/>
    <w:rsid w:val="00094C89"/>
    <w:rsid w:val="00097541"/>
    <w:rsid w:val="000A630F"/>
    <w:rsid w:val="000C021F"/>
    <w:rsid w:val="000C383D"/>
    <w:rsid w:val="000D15A8"/>
    <w:rsid w:val="000E46B4"/>
    <w:rsid w:val="000E7FE8"/>
    <w:rsid w:val="000F06C8"/>
    <w:rsid w:val="000F242D"/>
    <w:rsid w:val="000F37C9"/>
    <w:rsid w:val="001041A9"/>
    <w:rsid w:val="00104812"/>
    <w:rsid w:val="001051D2"/>
    <w:rsid w:val="00105BA4"/>
    <w:rsid w:val="001119BD"/>
    <w:rsid w:val="0012195F"/>
    <w:rsid w:val="0012485A"/>
    <w:rsid w:val="00126DFD"/>
    <w:rsid w:val="00127E0E"/>
    <w:rsid w:val="00137C3B"/>
    <w:rsid w:val="001511BB"/>
    <w:rsid w:val="001572D5"/>
    <w:rsid w:val="00167170"/>
    <w:rsid w:val="0018383C"/>
    <w:rsid w:val="0018600B"/>
    <w:rsid w:val="0019631D"/>
    <w:rsid w:val="001A5291"/>
    <w:rsid w:val="001C2A3A"/>
    <w:rsid w:val="001C5C3F"/>
    <w:rsid w:val="001D414C"/>
    <w:rsid w:val="001F23B8"/>
    <w:rsid w:val="001F738B"/>
    <w:rsid w:val="0020375D"/>
    <w:rsid w:val="00214085"/>
    <w:rsid w:val="00216511"/>
    <w:rsid w:val="00225735"/>
    <w:rsid w:val="002334B6"/>
    <w:rsid w:val="002371BB"/>
    <w:rsid w:val="00250E54"/>
    <w:rsid w:val="002535F3"/>
    <w:rsid w:val="0025497A"/>
    <w:rsid w:val="00256DA2"/>
    <w:rsid w:val="0027284E"/>
    <w:rsid w:val="0028330B"/>
    <w:rsid w:val="00285C49"/>
    <w:rsid w:val="002A18DC"/>
    <w:rsid w:val="002D0D23"/>
    <w:rsid w:val="002D2993"/>
    <w:rsid w:val="002E1837"/>
    <w:rsid w:val="002F4FC6"/>
    <w:rsid w:val="00301280"/>
    <w:rsid w:val="00306880"/>
    <w:rsid w:val="00307676"/>
    <w:rsid w:val="003208EC"/>
    <w:rsid w:val="00327C32"/>
    <w:rsid w:val="00366CEE"/>
    <w:rsid w:val="00371334"/>
    <w:rsid w:val="003913CD"/>
    <w:rsid w:val="003B0766"/>
    <w:rsid w:val="003C2658"/>
    <w:rsid w:val="003C2A6B"/>
    <w:rsid w:val="003C306D"/>
    <w:rsid w:val="00401A1B"/>
    <w:rsid w:val="0041272F"/>
    <w:rsid w:val="004153A6"/>
    <w:rsid w:val="0041542F"/>
    <w:rsid w:val="004347B1"/>
    <w:rsid w:val="004352D0"/>
    <w:rsid w:val="00441F0D"/>
    <w:rsid w:val="00443812"/>
    <w:rsid w:val="004617E1"/>
    <w:rsid w:val="00466B1C"/>
    <w:rsid w:val="0049265E"/>
    <w:rsid w:val="004A2FFB"/>
    <w:rsid w:val="004B2FD2"/>
    <w:rsid w:val="004C7258"/>
    <w:rsid w:val="004D0529"/>
    <w:rsid w:val="004D7BFE"/>
    <w:rsid w:val="005029DC"/>
    <w:rsid w:val="00537B0A"/>
    <w:rsid w:val="00545372"/>
    <w:rsid w:val="00556AE2"/>
    <w:rsid w:val="00563D09"/>
    <w:rsid w:val="00564FFE"/>
    <w:rsid w:val="0058486E"/>
    <w:rsid w:val="00586AE1"/>
    <w:rsid w:val="005939D0"/>
    <w:rsid w:val="005951D5"/>
    <w:rsid w:val="005A06C4"/>
    <w:rsid w:val="005A66B0"/>
    <w:rsid w:val="005B44A2"/>
    <w:rsid w:val="005C63CB"/>
    <w:rsid w:val="005C79B4"/>
    <w:rsid w:val="005E4A48"/>
    <w:rsid w:val="005F0864"/>
    <w:rsid w:val="005F6607"/>
    <w:rsid w:val="00607DB1"/>
    <w:rsid w:val="00614CE9"/>
    <w:rsid w:val="0062430C"/>
    <w:rsid w:val="00626321"/>
    <w:rsid w:val="00630F73"/>
    <w:rsid w:val="006320F5"/>
    <w:rsid w:val="00636F28"/>
    <w:rsid w:val="00642AF7"/>
    <w:rsid w:val="00652230"/>
    <w:rsid w:val="006527CB"/>
    <w:rsid w:val="00657E9B"/>
    <w:rsid w:val="00660160"/>
    <w:rsid w:val="006716AA"/>
    <w:rsid w:val="00680008"/>
    <w:rsid w:val="00684ECB"/>
    <w:rsid w:val="00695D0E"/>
    <w:rsid w:val="006A6B2B"/>
    <w:rsid w:val="006A796E"/>
    <w:rsid w:val="006C0C44"/>
    <w:rsid w:val="006C37AF"/>
    <w:rsid w:val="006C5F47"/>
    <w:rsid w:val="006E627C"/>
    <w:rsid w:val="006E7CDB"/>
    <w:rsid w:val="006F6FD4"/>
    <w:rsid w:val="00705A93"/>
    <w:rsid w:val="00710B68"/>
    <w:rsid w:val="00722B56"/>
    <w:rsid w:val="00732F91"/>
    <w:rsid w:val="00733443"/>
    <w:rsid w:val="007343BF"/>
    <w:rsid w:val="007512FB"/>
    <w:rsid w:val="00762F6E"/>
    <w:rsid w:val="00781E36"/>
    <w:rsid w:val="00790861"/>
    <w:rsid w:val="00791D39"/>
    <w:rsid w:val="00796C22"/>
    <w:rsid w:val="007A7929"/>
    <w:rsid w:val="007B2074"/>
    <w:rsid w:val="007C5569"/>
    <w:rsid w:val="007F12D9"/>
    <w:rsid w:val="008057F7"/>
    <w:rsid w:val="008102BB"/>
    <w:rsid w:val="008132B2"/>
    <w:rsid w:val="008252DC"/>
    <w:rsid w:val="0082721B"/>
    <w:rsid w:val="00845286"/>
    <w:rsid w:val="00875285"/>
    <w:rsid w:val="008B14B6"/>
    <w:rsid w:val="008D59DF"/>
    <w:rsid w:val="008E4601"/>
    <w:rsid w:val="008F3B6C"/>
    <w:rsid w:val="00904B12"/>
    <w:rsid w:val="00904FB4"/>
    <w:rsid w:val="009068E4"/>
    <w:rsid w:val="00922DBB"/>
    <w:rsid w:val="00923403"/>
    <w:rsid w:val="00965DDF"/>
    <w:rsid w:val="009748EA"/>
    <w:rsid w:val="00984107"/>
    <w:rsid w:val="009905C9"/>
    <w:rsid w:val="0099320B"/>
    <w:rsid w:val="009C0855"/>
    <w:rsid w:val="009C553F"/>
    <w:rsid w:val="009C7E85"/>
    <w:rsid w:val="009D2D58"/>
    <w:rsid w:val="009D62B4"/>
    <w:rsid w:val="009F6EC2"/>
    <w:rsid w:val="00A0498F"/>
    <w:rsid w:val="00A235AF"/>
    <w:rsid w:val="00A246E1"/>
    <w:rsid w:val="00A25C13"/>
    <w:rsid w:val="00A33D50"/>
    <w:rsid w:val="00A509F7"/>
    <w:rsid w:val="00A85B10"/>
    <w:rsid w:val="00A90064"/>
    <w:rsid w:val="00AA462E"/>
    <w:rsid w:val="00AB31F0"/>
    <w:rsid w:val="00AC194A"/>
    <w:rsid w:val="00AD01B2"/>
    <w:rsid w:val="00AD3BD0"/>
    <w:rsid w:val="00AD4839"/>
    <w:rsid w:val="00AD786D"/>
    <w:rsid w:val="00AF2D0F"/>
    <w:rsid w:val="00AF6803"/>
    <w:rsid w:val="00B01D7C"/>
    <w:rsid w:val="00B04923"/>
    <w:rsid w:val="00B103AD"/>
    <w:rsid w:val="00B170F7"/>
    <w:rsid w:val="00B40472"/>
    <w:rsid w:val="00B41C9B"/>
    <w:rsid w:val="00B74311"/>
    <w:rsid w:val="00B80CED"/>
    <w:rsid w:val="00BA294E"/>
    <w:rsid w:val="00BA4810"/>
    <w:rsid w:val="00BE284B"/>
    <w:rsid w:val="00BE62FB"/>
    <w:rsid w:val="00BF3AA6"/>
    <w:rsid w:val="00BF3C49"/>
    <w:rsid w:val="00BF6530"/>
    <w:rsid w:val="00C135FA"/>
    <w:rsid w:val="00C24A8D"/>
    <w:rsid w:val="00C36F5A"/>
    <w:rsid w:val="00C51E52"/>
    <w:rsid w:val="00C71830"/>
    <w:rsid w:val="00CA0DEB"/>
    <w:rsid w:val="00CC2B89"/>
    <w:rsid w:val="00CC3903"/>
    <w:rsid w:val="00D110BA"/>
    <w:rsid w:val="00D171BE"/>
    <w:rsid w:val="00D2397F"/>
    <w:rsid w:val="00D26095"/>
    <w:rsid w:val="00D45B1C"/>
    <w:rsid w:val="00D53468"/>
    <w:rsid w:val="00D6420C"/>
    <w:rsid w:val="00D94857"/>
    <w:rsid w:val="00DA2A1B"/>
    <w:rsid w:val="00DA5D52"/>
    <w:rsid w:val="00DB1B47"/>
    <w:rsid w:val="00DD20D4"/>
    <w:rsid w:val="00DE6066"/>
    <w:rsid w:val="00DE781E"/>
    <w:rsid w:val="00E03BCF"/>
    <w:rsid w:val="00E1084B"/>
    <w:rsid w:val="00E1563B"/>
    <w:rsid w:val="00E34828"/>
    <w:rsid w:val="00E434CD"/>
    <w:rsid w:val="00E45316"/>
    <w:rsid w:val="00E51199"/>
    <w:rsid w:val="00E55B08"/>
    <w:rsid w:val="00E624C3"/>
    <w:rsid w:val="00E81C88"/>
    <w:rsid w:val="00E83FBE"/>
    <w:rsid w:val="00E94BC9"/>
    <w:rsid w:val="00E973A4"/>
    <w:rsid w:val="00EC1BF4"/>
    <w:rsid w:val="00EC1D57"/>
    <w:rsid w:val="00EC3C35"/>
    <w:rsid w:val="00EE0026"/>
    <w:rsid w:val="00EE3E7A"/>
    <w:rsid w:val="00EF214F"/>
    <w:rsid w:val="00F07F29"/>
    <w:rsid w:val="00F1370C"/>
    <w:rsid w:val="00F221C7"/>
    <w:rsid w:val="00F30AB0"/>
    <w:rsid w:val="00F409DD"/>
    <w:rsid w:val="00F54D24"/>
    <w:rsid w:val="00F66B2B"/>
    <w:rsid w:val="00F67310"/>
    <w:rsid w:val="00F75A78"/>
    <w:rsid w:val="00F97EBA"/>
    <w:rsid w:val="00FC1648"/>
    <w:rsid w:val="00FC2418"/>
    <w:rsid w:val="00FC383E"/>
    <w:rsid w:val="00FE3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920495-7CC8-4A92-AD5D-ECD25118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1"/>
    <w:basedOn w:val="a1"/>
    <w:next w:val="a5"/>
    <w:uiPriority w:val="59"/>
    <w:rsid w:val="00DA5D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64FFE"/>
    <w:pPr>
      <w:ind w:left="720"/>
      <w:contextualSpacing/>
    </w:pPr>
  </w:style>
  <w:style w:type="paragraph" w:styleId="ab">
    <w:name w:val="Body Text"/>
    <w:basedOn w:val="a"/>
    <w:link w:val="ac"/>
    <w:rsid w:val="00027154"/>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02715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54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9CCC2-BCC5-4D4B-BD85-30AF9017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Исакова Юлия Радиевна</cp:lastModifiedBy>
  <cp:revision>2</cp:revision>
  <cp:lastPrinted>2023-02-27T07:13:00Z</cp:lastPrinted>
  <dcterms:created xsi:type="dcterms:W3CDTF">2023-02-27T07:45:00Z</dcterms:created>
  <dcterms:modified xsi:type="dcterms:W3CDTF">2023-02-27T07:45:00Z</dcterms:modified>
  <cp:category>Файлы документов</cp:category>
</cp:coreProperties>
</file>