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E18" w:rsidRPr="003766BF" w:rsidRDefault="00272E18" w:rsidP="00272E18">
      <w:pPr>
        <w:spacing w:after="0"/>
        <w:ind w:firstLine="708"/>
        <w:jc w:val="center"/>
        <w:rPr>
          <w:b/>
        </w:rPr>
      </w:pPr>
      <w:r>
        <w:rPr>
          <w:b/>
        </w:rPr>
        <w:t>А</w:t>
      </w:r>
      <w:r w:rsidRPr="007942DD">
        <w:rPr>
          <w:b/>
        </w:rPr>
        <w:t xml:space="preserve">нализ факторов, повлиявших на ход реализации </w:t>
      </w:r>
      <w:r>
        <w:rPr>
          <w:b/>
        </w:rPr>
        <w:t xml:space="preserve">Госпрограммы, а также </w:t>
      </w:r>
      <w:r w:rsidR="001372C5">
        <w:rPr>
          <w:b/>
        </w:rPr>
        <w:t>а</w:t>
      </w:r>
      <w:r w:rsidRPr="00FF1ABC">
        <w:rPr>
          <w:b/>
        </w:rPr>
        <w:t xml:space="preserve">нализ фактических и вероятных последствий влияния указанных факторов на основные параметры </w:t>
      </w:r>
      <w:r>
        <w:rPr>
          <w:b/>
        </w:rPr>
        <w:t>Госпрограммы.</w:t>
      </w:r>
    </w:p>
    <w:p w:rsidR="00182D40" w:rsidRDefault="00182D40" w:rsidP="00182D40">
      <w:pPr>
        <w:spacing w:after="0"/>
        <w:jc w:val="center"/>
        <w:rPr>
          <w:b/>
        </w:rPr>
      </w:pPr>
    </w:p>
    <w:p w:rsidR="00746124" w:rsidRDefault="00746124" w:rsidP="00666974">
      <w:pPr>
        <w:spacing w:after="0"/>
        <w:ind w:firstLine="708"/>
        <w:jc w:val="both"/>
      </w:pPr>
      <w:r>
        <w:t xml:space="preserve">На реализацию государственной программы Российской Федерации «Доступная среда» </w:t>
      </w:r>
      <w:r w:rsidR="00351787">
        <w:t>(далее – Госпрограмма)</w:t>
      </w:r>
      <w:r w:rsidR="009056EE">
        <w:t xml:space="preserve"> в 2019</w:t>
      </w:r>
      <w:r>
        <w:t xml:space="preserve"> году оказывали влияние как положительные, так и отрицательные факторы. </w:t>
      </w:r>
    </w:p>
    <w:p w:rsidR="009A6F25" w:rsidRDefault="0015682D" w:rsidP="009A6F25">
      <w:pPr>
        <w:spacing w:after="0"/>
        <w:ind w:firstLine="851"/>
        <w:contextualSpacing/>
        <w:jc w:val="both"/>
      </w:pPr>
      <w:r>
        <w:t>Н</w:t>
      </w:r>
      <w:r w:rsidR="00746124">
        <w:t>аи</w:t>
      </w:r>
      <w:r w:rsidR="00351787">
        <w:t xml:space="preserve">большее влияние на реализацию Госпрограммы </w:t>
      </w:r>
      <w:r w:rsidR="00C4536D">
        <w:t>оказали следующие факторы:</w:t>
      </w:r>
    </w:p>
    <w:p w:rsidR="00C47734" w:rsidRDefault="009A6F25" w:rsidP="009A6F25">
      <w:pPr>
        <w:pStyle w:val="a5"/>
        <w:numPr>
          <w:ilvl w:val="0"/>
          <w:numId w:val="2"/>
        </w:numPr>
        <w:tabs>
          <w:tab w:val="left" w:pos="1134"/>
        </w:tabs>
        <w:spacing w:after="0"/>
        <w:ind w:left="0" w:firstLine="851"/>
        <w:jc w:val="both"/>
      </w:pPr>
      <w:r>
        <w:t>Оп</w:t>
      </w:r>
      <w:r w:rsidR="00C4536D" w:rsidRPr="00DE27DF">
        <w:t>ределение поставщиков работ, услуг и (</w:t>
      </w:r>
      <w:r w:rsidR="00284A65" w:rsidRPr="00DE27DF">
        <w:t>или) товаров</w:t>
      </w:r>
      <w:r w:rsidR="005345EA" w:rsidRPr="00DE27DF">
        <w:t xml:space="preserve"> в соответствии с положениями</w:t>
      </w:r>
      <w:r w:rsidR="00AA4118">
        <w:t xml:space="preserve"> </w:t>
      </w:r>
      <w:r w:rsidR="005345EA" w:rsidRPr="00DE27DF">
        <w:t>Федерального</w:t>
      </w:r>
      <w:r w:rsidR="00AA4118">
        <w:t xml:space="preserve"> </w:t>
      </w:r>
      <w:r w:rsidR="005345EA" w:rsidRPr="00DE27DF">
        <w:t>закона</w:t>
      </w:r>
      <w:r w:rsidR="00AA4118">
        <w:t xml:space="preserve"> </w:t>
      </w:r>
      <w:r w:rsidR="00597E43" w:rsidRPr="00DE27DF">
        <w:t>о</w:t>
      </w:r>
      <w:r w:rsidR="00DC4156">
        <w:t>т</w:t>
      </w:r>
      <w:r w:rsidR="00AA4118">
        <w:t xml:space="preserve"> </w:t>
      </w:r>
      <w:r w:rsidR="00DC4156">
        <w:t>5.04.</w:t>
      </w:r>
      <w:r w:rsidR="00597E43" w:rsidRPr="00DE27DF">
        <w:t>2013</w:t>
      </w:r>
      <w:r w:rsidR="00AA4118">
        <w:t xml:space="preserve"> </w:t>
      </w:r>
      <w:r w:rsidR="005345EA" w:rsidRPr="00DE27DF">
        <w:t>№</w:t>
      </w:r>
      <w:r w:rsidR="00DC4156">
        <w:t xml:space="preserve"> </w:t>
      </w:r>
      <w:r w:rsidR="005345EA" w:rsidRPr="00DE27DF">
        <w:t xml:space="preserve">44-ФЗ </w:t>
      </w:r>
      <w:r w:rsidR="0015682D">
        <w:t>«</w:t>
      </w:r>
      <w:r w:rsidR="00C4536D" w:rsidRPr="00DE27DF">
        <w:t>О контрактной системе в сфере закупок товаров, работ, услуг для обеспечения государственных и муниципальных</w:t>
      </w:r>
      <w:r w:rsidR="00AA4118">
        <w:t xml:space="preserve"> </w:t>
      </w:r>
      <w:r w:rsidR="00C4536D" w:rsidRPr="00DE27DF">
        <w:t>нужд</w:t>
      </w:r>
      <w:r w:rsidR="0015682D">
        <w:t>»</w:t>
      </w:r>
      <w:r w:rsidR="00AA4118">
        <w:t xml:space="preserve"> </w:t>
      </w:r>
      <w:r w:rsidR="00251313">
        <w:t>(д</w:t>
      </w:r>
      <w:r w:rsidR="00E201D2">
        <w:t xml:space="preserve">алее – Федеральный закон </w:t>
      </w:r>
      <w:r w:rsidR="00251313">
        <w:t>№ 44-ФЗ)</w:t>
      </w:r>
      <w:r w:rsidR="00EB12AA">
        <w:t xml:space="preserve">, а также прочие факторы, связанные с контрактной системой: недобросовестное исполнение государственных контрактов, оспаривание результатов, приостановление и расторжение </w:t>
      </w:r>
      <w:r w:rsidR="00265066">
        <w:t xml:space="preserve">государственных </w:t>
      </w:r>
      <w:r w:rsidR="00EB12AA">
        <w:t>контрактов</w:t>
      </w:r>
      <w:r w:rsidR="00CA1E63">
        <w:t>,</w:t>
      </w:r>
      <w:r w:rsidR="005345EA">
        <w:t xml:space="preserve"> </w:t>
      </w:r>
      <w:r w:rsidR="00265066">
        <w:t>в следствие чего нарушаются плановые сроки реализации контрольных событий и мероприятий</w:t>
      </w:r>
      <w:r w:rsidR="00CA1E63">
        <w:t>.</w:t>
      </w:r>
      <w:r w:rsidR="00265066">
        <w:t xml:space="preserve"> </w:t>
      </w:r>
      <w:r w:rsidR="00CA1E63">
        <w:t xml:space="preserve">Этими фактами в конечном счете объясняется </w:t>
      </w:r>
      <w:r w:rsidR="00265066">
        <w:t>существ</w:t>
      </w:r>
      <w:r w:rsidR="00CA1E63">
        <w:t>ование</w:t>
      </w:r>
      <w:r w:rsidR="00265066">
        <w:t xml:space="preserve"> риск</w:t>
      </w:r>
      <w:r w:rsidR="00CA1E63">
        <w:t>а</w:t>
      </w:r>
      <w:r w:rsidR="00265066">
        <w:t xml:space="preserve"> невыполнения мероприятий Госпрограммы в целом</w:t>
      </w:r>
      <w:r w:rsidR="00EB12AA">
        <w:t>.</w:t>
      </w:r>
    </w:p>
    <w:p w:rsidR="00C47734" w:rsidRPr="006C05F8" w:rsidRDefault="00265066" w:rsidP="00C47734">
      <w:pPr>
        <w:spacing w:after="0"/>
        <w:ind w:firstLine="851"/>
        <w:contextualSpacing/>
        <w:jc w:val="both"/>
      </w:pPr>
      <w:r>
        <w:t>Д</w:t>
      </w:r>
      <w:r w:rsidR="00552664">
        <w:t>анный фактор оказал значительное</w:t>
      </w:r>
      <w:r w:rsidR="00EB12AA">
        <w:t xml:space="preserve"> влияние на сроки</w:t>
      </w:r>
      <w:r>
        <w:t xml:space="preserve"> исполнения контрольных событий</w:t>
      </w:r>
      <w:r w:rsidR="00F82CC1">
        <w:t>. Так, например, к</w:t>
      </w:r>
      <w:r w:rsidR="00C47734">
        <w:t xml:space="preserve">онтрольное событие 3.4.1.2. </w:t>
      </w:r>
      <w:r w:rsidR="00C47734" w:rsidRPr="009A2521">
        <w:t>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r w:rsidR="00C47734">
        <w:t xml:space="preserve"> не реализовано.</w:t>
      </w:r>
    </w:p>
    <w:p w:rsidR="00C47734" w:rsidRDefault="00F82CC1" w:rsidP="00F82CC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Theme="minorHAnsi"/>
          <w:color w:val="auto"/>
          <w:sz w:val="28"/>
          <w:szCs w:val="28"/>
          <w:lang w:eastAsia="en-US"/>
        </w:rPr>
      </w:pPr>
      <w:r>
        <w:rPr>
          <w:rFonts w:eastAsiaTheme="minorHAnsi"/>
          <w:color w:val="auto"/>
          <w:sz w:val="28"/>
          <w:szCs w:val="28"/>
          <w:lang w:eastAsia="en-US"/>
        </w:rPr>
        <w:tab/>
      </w:r>
      <w:r w:rsidR="00C47734" w:rsidRPr="009A2521">
        <w:rPr>
          <w:rFonts w:eastAsiaTheme="minorHAnsi"/>
          <w:color w:val="auto"/>
          <w:sz w:val="28"/>
          <w:szCs w:val="28"/>
          <w:lang w:eastAsia="en-US"/>
        </w:rPr>
        <w:t>05.11.20</w:t>
      </w:r>
      <w:r w:rsidR="00C47734">
        <w:rPr>
          <w:rFonts w:eastAsiaTheme="minorHAnsi"/>
          <w:color w:val="auto"/>
          <w:sz w:val="28"/>
          <w:szCs w:val="28"/>
          <w:lang w:eastAsia="en-US"/>
        </w:rPr>
        <w:t xml:space="preserve">19 </w:t>
      </w:r>
      <w:r w:rsidR="00C47734" w:rsidRPr="009A2521">
        <w:rPr>
          <w:rFonts w:eastAsiaTheme="minorHAnsi"/>
          <w:color w:val="auto"/>
          <w:sz w:val="28"/>
          <w:szCs w:val="28"/>
          <w:lang w:eastAsia="en-US"/>
        </w:rPr>
        <w:t xml:space="preserve">Минтрудом России </w:t>
      </w:r>
      <w:r w:rsidR="00C47734">
        <w:rPr>
          <w:rFonts w:eastAsiaTheme="minorHAnsi"/>
          <w:color w:val="auto"/>
          <w:sz w:val="28"/>
          <w:szCs w:val="28"/>
          <w:lang w:eastAsia="en-US"/>
        </w:rPr>
        <w:t xml:space="preserve">были </w:t>
      </w:r>
      <w:r w:rsidR="00C47734" w:rsidRPr="009A2521">
        <w:rPr>
          <w:rFonts w:eastAsiaTheme="minorHAnsi"/>
          <w:color w:val="auto"/>
          <w:sz w:val="28"/>
          <w:szCs w:val="28"/>
          <w:lang w:eastAsia="en-US"/>
        </w:rPr>
        <w:t>заключены государственные контракты</w:t>
      </w:r>
      <w:r>
        <w:rPr>
          <w:rFonts w:eastAsiaTheme="minorHAnsi"/>
          <w:color w:val="auto"/>
          <w:sz w:val="28"/>
          <w:szCs w:val="28"/>
          <w:lang w:eastAsia="en-US"/>
        </w:rPr>
        <w:t xml:space="preserve"> </w:t>
      </w:r>
      <w:r w:rsidR="00C47734">
        <w:rPr>
          <w:rFonts w:eastAsiaTheme="minorHAnsi"/>
          <w:color w:val="auto"/>
          <w:sz w:val="28"/>
          <w:szCs w:val="28"/>
          <w:lang w:eastAsia="en-US"/>
        </w:rPr>
        <w:t>№</w:t>
      </w:r>
      <w:r>
        <w:rPr>
          <w:rFonts w:eastAsiaTheme="minorHAnsi"/>
          <w:color w:val="auto"/>
          <w:sz w:val="28"/>
          <w:szCs w:val="28"/>
          <w:lang w:eastAsia="en-US"/>
        </w:rPr>
        <w:t xml:space="preserve"> </w:t>
      </w:r>
      <w:r w:rsidR="00C47734">
        <w:rPr>
          <w:rFonts w:eastAsiaTheme="minorHAnsi"/>
          <w:color w:val="auto"/>
          <w:sz w:val="28"/>
          <w:szCs w:val="28"/>
          <w:lang w:eastAsia="en-US"/>
        </w:rPr>
        <w:t>01951000003190001360001</w:t>
      </w:r>
      <w:r>
        <w:rPr>
          <w:rFonts w:eastAsiaTheme="minorHAnsi"/>
          <w:color w:val="auto"/>
          <w:sz w:val="28"/>
          <w:szCs w:val="28"/>
          <w:lang w:eastAsia="en-US"/>
        </w:rPr>
        <w:t xml:space="preserve"> </w:t>
      </w:r>
      <w:r w:rsidR="00C47734">
        <w:rPr>
          <w:rFonts w:eastAsiaTheme="minorHAnsi"/>
          <w:color w:val="auto"/>
          <w:sz w:val="28"/>
          <w:szCs w:val="28"/>
          <w:lang w:eastAsia="en-US"/>
        </w:rPr>
        <w:t>и</w:t>
      </w:r>
      <w:r w:rsidR="00C47734" w:rsidRPr="009A2521">
        <w:rPr>
          <w:rFonts w:eastAsiaTheme="minorHAnsi"/>
          <w:color w:val="auto"/>
          <w:sz w:val="28"/>
          <w:szCs w:val="28"/>
          <w:lang w:eastAsia="en-US"/>
        </w:rPr>
        <w:t xml:space="preserve"> № 01951000003190001370001 на адресную поставку персональных компьютеров и ноутбуков</w:t>
      </w:r>
      <w:r w:rsidR="00C47734">
        <w:rPr>
          <w:rFonts w:eastAsiaTheme="minorHAnsi"/>
          <w:color w:val="auto"/>
          <w:sz w:val="28"/>
          <w:szCs w:val="28"/>
          <w:lang w:eastAsia="en-US"/>
        </w:rPr>
        <w:t xml:space="preserve"> (далее – государственные контракты)</w:t>
      </w:r>
      <w:r w:rsidR="00C47734" w:rsidRPr="009A2521">
        <w:rPr>
          <w:rFonts w:eastAsiaTheme="minorHAnsi"/>
          <w:color w:val="auto"/>
          <w:sz w:val="28"/>
          <w:szCs w:val="28"/>
          <w:lang w:eastAsia="en-US"/>
        </w:rPr>
        <w:t xml:space="preserve">. </w:t>
      </w:r>
    </w:p>
    <w:p w:rsidR="00C47734" w:rsidRDefault="00C47734" w:rsidP="00C4773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9A2521">
        <w:rPr>
          <w:rFonts w:eastAsiaTheme="minorHAnsi"/>
          <w:color w:val="auto"/>
          <w:sz w:val="28"/>
          <w:szCs w:val="28"/>
          <w:lang w:eastAsia="en-US"/>
        </w:rPr>
        <w:t>Минтруд России письмом от 17.12.20</w:t>
      </w:r>
      <w:r>
        <w:rPr>
          <w:rFonts w:eastAsiaTheme="minorHAnsi"/>
          <w:color w:val="auto"/>
          <w:sz w:val="28"/>
          <w:szCs w:val="28"/>
          <w:lang w:eastAsia="en-US"/>
        </w:rPr>
        <w:t>19 № 13-2/10/-10769 уведомлял п</w:t>
      </w:r>
      <w:r w:rsidRPr="009A2521">
        <w:rPr>
          <w:rFonts w:eastAsiaTheme="minorHAnsi"/>
          <w:color w:val="auto"/>
          <w:sz w:val="28"/>
          <w:szCs w:val="28"/>
          <w:lang w:eastAsia="en-US"/>
        </w:rPr>
        <w:t>оставщика о необ</w:t>
      </w:r>
      <w:r>
        <w:rPr>
          <w:rFonts w:eastAsiaTheme="minorHAnsi"/>
          <w:color w:val="auto"/>
          <w:sz w:val="28"/>
          <w:szCs w:val="28"/>
          <w:lang w:eastAsia="en-US"/>
        </w:rPr>
        <w:t>ходимости соблюдения положений г</w:t>
      </w:r>
      <w:r w:rsidRPr="009A2521">
        <w:rPr>
          <w:rFonts w:eastAsiaTheme="minorHAnsi"/>
          <w:color w:val="auto"/>
          <w:sz w:val="28"/>
          <w:szCs w:val="28"/>
          <w:lang w:eastAsia="en-US"/>
        </w:rPr>
        <w:t xml:space="preserve">осударственных контрактов в части сроков поставки персональных компьютеров и ноутбуков, </w:t>
      </w:r>
      <w:r w:rsidR="00CA1E63">
        <w:rPr>
          <w:rFonts w:eastAsiaTheme="minorHAnsi"/>
          <w:color w:val="auto"/>
          <w:sz w:val="28"/>
          <w:szCs w:val="28"/>
          <w:lang w:eastAsia="en-US"/>
        </w:rPr>
        <w:t>при этом</w:t>
      </w:r>
      <w:r w:rsidRPr="009A2521">
        <w:rPr>
          <w:rFonts w:eastAsiaTheme="minorHAnsi"/>
          <w:color w:val="auto"/>
          <w:sz w:val="28"/>
          <w:szCs w:val="28"/>
          <w:lang w:eastAsia="en-US"/>
        </w:rPr>
        <w:t xml:space="preserve"> также обратил внимание на необходимость передачи оригинал</w:t>
      </w:r>
      <w:r>
        <w:rPr>
          <w:rFonts w:eastAsiaTheme="minorHAnsi"/>
          <w:color w:val="auto"/>
          <w:sz w:val="28"/>
          <w:szCs w:val="28"/>
          <w:lang w:eastAsia="en-US"/>
        </w:rPr>
        <w:t>ов документов, предусмотренных г</w:t>
      </w:r>
      <w:r w:rsidRPr="009A2521">
        <w:rPr>
          <w:rFonts w:eastAsiaTheme="minorHAnsi"/>
          <w:color w:val="auto"/>
          <w:sz w:val="28"/>
          <w:szCs w:val="28"/>
          <w:lang w:eastAsia="en-US"/>
        </w:rPr>
        <w:t xml:space="preserve">осударственными контрактами. </w:t>
      </w:r>
    </w:p>
    <w:p w:rsidR="00C47734" w:rsidRDefault="00C47734" w:rsidP="00C4773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Pr>
          <w:rFonts w:eastAsiaTheme="minorHAnsi"/>
          <w:color w:val="auto"/>
          <w:sz w:val="28"/>
          <w:szCs w:val="28"/>
          <w:lang w:eastAsia="en-US"/>
        </w:rPr>
        <w:t>Вместе с тем, п</w:t>
      </w:r>
      <w:r w:rsidRPr="009A2521">
        <w:rPr>
          <w:rFonts w:eastAsiaTheme="minorHAnsi"/>
          <w:color w:val="auto"/>
          <w:sz w:val="28"/>
          <w:szCs w:val="28"/>
          <w:lang w:eastAsia="en-US"/>
        </w:rPr>
        <w:t xml:space="preserve">оставщиком обязательства по государственным контрактам не исполнены, в связи с чем </w:t>
      </w:r>
      <w:r>
        <w:rPr>
          <w:rFonts w:eastAsiaTheme="minorHAnsi"/>
          <w:color w:val="auto"/>
          <w:sz w:val="28"/>
          <w:szCs w:val="28"/>
          <w:lang w:eastAsia="en-US"/>
        </w:rPr>
        <w:t>руководствуясь</w:t>
      </w:r>
      <w:r w:rsidRPr="009A2521">
        <w:rPr>
          <w:rFonts w:eastAsiaTheme="minorHAnsi"/>
          <w:color w:val="auto"/>
          <w:sz w:val="28"/>
          <w:szCs w:val="28"/>
          <w:lang w:eastAsia="en-US"/>
        </w:rPr>
        <w:t xml:space="preserve"> положениям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eastAsiaTheme="minorHAnsi"/>
          <w:color w:val="auto"/>
          <w:sz w:val="28"/>
          <w:szCs w:val="28"/>
          <w:lang w:eastAsia="en-US"/>
        </w:rPr>
        <w:t xml:space="preserve"> </w:t>
      </w:r>
      <w:r w:rsidRPr="009A2521">
        <w:rPr>
          <w:rFonts w:eastAsiaTheme="minorHAnsi"/>
          <w:color w:val="auto"/>
          <w:sz w:val="28"/>
          <w:szCs w:val="28"/>
          <w:lang w:eastAsia="en-US"/>
        </w:rPr>
        <w:t xml:space="preserve">Минтрудом России принято решение </w:t>
      </w:r>
      <w:r w:rsidR="00CA1E63">
        <w:rPr>
          <w:rFonts w:eastAsiaTheme="minorHAnsi"/>
          <w:color w:val="auto"/>
          <w:sz w:val="28"/>
          <w:szCs w:val="28"/>
          <w:lang w:eastAsia="en-US"/>
        </w:rPr>
        <w:t xml:space="preserve">об </w:t>
      </w:r>
      <w:r w:rsidRPr="009A2521">
        <w:rPr>
          <w:rFonts w:eastAsiaTheme="minorHAnsi"/>
          <w:color w:val="auto"/>
          <w:sz w:val="28"/>
          <w:szCs w:val="28"/>
          <w:lang w:eastAsia="en-US"/>
        </w:rPr>
        <w:t>отказ</w:t>
      </w:r>
      <w:r w:rsidR="00CA1E63">
        <w:rPr>
          <w:rFonts w:eastAsiaTheme="minorHAnsi"/>
          <w:color w:val="auto"/>
          <w:sz w:val="28"/>
          <w:szCs w:val="28"/>
          <w:lang w:eastAsia="en-US"/>
        </w:rPr>
        <w:t>е</w:t>
      </w:r>
      <w:r w:rsidRPr="009A2521">
        <w:rPr>
          <w:rFonts w:eastAsiaTheme="minorHAnsi"/>
          <w:color w:val="auto"/>
          <w:sz w:val="28"/>
          <w:szCs w:val="28"/>
          <w:lang w:eastAsia="en-US"/>
        </w:rPr>
        <w:t xml:space="preserve"> в одностороннем порядке от исполнения </w:t>
      </w:r>
      <w:r>
        <w:rPr>
          <w:rFonts w:eastAsiaTheme="minorHAnsi"/>
          <w:color w:val="auto"/>
          <w:sz w:val="28"/>
          <w:szCs w:val="28"/>
          <w:lang w:eastAsia="en-US"/>
        </w:rPr>
        <w:t>указанных государственных контрактов.</w:t>
      </w:r>
    </w:p>
    <w:p w:rsidR="009A6F25" w:rsidRDefault="009A6F25" w:rsidP="009A6F25">
      <w:pPr>
        <w:pStyle w:val="11"/>
        <w:numPr>
          <w:ilvl w:val="0"/>
          <w:numId w:val="2"/>
        </w:numPr>
        <w:tabs>
          <w:tab w:val="left" w:pos="708"/>
          <w:tab w:val="left" w:pos="1276"/>
          <w:tab w:val="left" w:pos="4248"/>
          <w:tab w:val="left" w:pos="4956"/>
          <w:tab w:val="left" w:pos="5664"/>
          <w:tab w:val="left" w:pos="6372"/>
          <w:tab w:val="left" w:pos="7080"/>
          <w:tab w:val="left" w:pos="7788"/>
          <w:tab w:val="left" w:pos="8496"/>
          <w:tab w:val="left" w:pos="9204"/>
        </w:tabs>
        <w:spacing w:line="276" w:lineRule="auto"/>
        <w:ind w:left="0" w:firstLine="851"/>
        <w:jc w:val="both"/>
        <w:rPr>
          <w:rFonts w:eastAsiaTheme="minorHAnsi"/>
          <w:color w:val="auto"/>
          <w:sz w:val="28"/>
          <w:szCs w:val="28"/>
          <w:lang w:eastAsia="en-US"/>
        </w:rPr>
      </w:pPr>
      <w:r>
        <w:rPr>
          <w:rFonts w:eastAsiaTheme="minorHAnsi"/>
          <w:color w:val="auto"/>
          <w:sz w:val="28"/>
          <w:szCs w:val="28"/>
          <w:lang w:eastAsia="en-US"/>
        </w:rPr>
        <w:lastRenderedPageBreak/>
        <w:t>С</w:t>
      </w:r>
      <w:r w:rsidR="00C6238E" w:rsidRPr="00083DCE">
        <w:rPr>
          <w:sz w:val="28"/>
          <w:szCs w:val="28"/>
        </w:rPr>
        <w:t>оциальные</w:t>
      </w:r>
      <w:r w:rsidR="00DC4156" w:rsidRPr="00083DCE">
        <w:rPr>
          <w:sz w:val="28"/>
          <w:szCs w:val="28"/>
        </w:rPr>
        <w:t xml:space="preserve"> </w:t>
      </w:r>
      <w:r w:rsidR="00C6238E" w:rsidRPr="00083DCE">
        <w:rPr>
          <w:sz w:val="28"/>
          <w:szCs w:val="28"/>
        </w:rPr>
        <w:t>риски,</w:t>
      </w:r>
      <w:r w:rsidR="00DC4156" w:rsidRPr="00083DCE">
        <w:rPr>
          <w:sz w:val="28"/>
          <w:szCs w:val="28"/>
        </w:rPr>
        <w:t xml:space="preserve"> связанные</w:t>
      </w:r>
      <w:r w:rsidR="00C6238E" w:rsidRPr="00083DCE">
        <w:rPr>
          <w:sz w:val="28"/>
          <w:szCs w:val="28"/>
        </w:rPr>
        <w:t xml:space="preserve"> с дефицитом </w:t>
      </w:r>
      <w:r w:rsidR="00DC4156" w:rsidRPr="00083DCE">
        <w:rPr>
          <w:sz w:val="28"/>
          <w:szCs w:val="28"/>
        </w:rPr>
        <w:t>высококвалифицированных кадров</w:t>
      </w:r>
      <w:r w:rsidR="00AA4118">
        <w:rPr>
          <w:sz w:val="28"/>
          <w:szCs w:val="28"/>
        </w:rPr>
        <w:t xml:space="preserve"> </w:t>
      </w:r>
      <w:r w:rsidR="00DC4156" w:rsidRPr="00083DCE">
        <w:rPr>
          <w:sz w:val="28"/>
          <w:szCs w:val="28"/>
        </w:rPr>
        <w:t>в</w:t>
      </w:r>
      <w:r w:rsidR="00AA4118">
        <w:rPr>
          <w:sz w:val="28"/>
          <w:szCs w:val="28"/>
        </w:rPr>
        <w:t xml:space="preserve"> </w:t>
      </w:r>
      <w:r w:rsidR="00DC4156" w:rsidRPr="00083DCE">
        <w:rPr>
          <w:sz w:val="28"/>
          <w:szCs w:val="28"/>
        </w:rPr>
        <w:t>субъектах</w:t>
      </w:r>
      <w:r w:rsidR="00AA4118">
        <w:rPr>
          <w:sz w:val="28"/>
          <w:szCs w:val="28"/>
        </w:rPr>
        <w:t xml:space="preserve"> </w:t>
      </w:r>
      <w:r w:rsidR="00DC4156" w:rsidRPr="00083DCE">
        <w:rPr>
          <w:sz w:val="28"/>
          <w:szCs w:val="28"/>
        </w:rPr>
        <w:t>Российской</w:t>
      </w:r>
      <w:r w:rsidR="00083DCE" w:rsidRPr="00083DCE">
        <w:rPr>
          <w:sz w:val="28"/>
          <w:szCs w:val="28"/>
        </w:rPr>
        <w:t xml:space="preserve"> </w:t>
      </w:r>
      <w:r w:rsidR="00DC4156" w:rsidRPr="00083DCE">
        <w:rPr>
          <w:sz w:val="28"/>
          <w:szCs w:val="28"/>
        </w:rPr>
        <w:t>Федерации</w:t>
      </w:r>
      <w:r w:rsidR="00CA1E63">
        <w:rPr>
          <w:sz w:val="28"/>
          <w:szCs w:val="28"/>
        </w:rPr>
        <w:t>. Д</w:t>
      </w:r>
      <w:r w:rsidR="00DC4156" w:rsidRPr="00083DCE">
        <w:rPr>
          <w:sz w:val="28"/>
          <w:szCs w:val="28"/>
        </w:rPr>
        <w:t>анный фактор существенно влияет на реализацию мероприятий Госпрограммы в субъектах Российской Федерации,</w:t>
      </w:r>
      <w:r w:rsidR="00CA1E63">
        <w:rPr>
          <w:sz w:val="28"/>
          <w:szCs w:val="28"/>
        </w:rPr>
        <w:t xml:space="preserve"> и </w:t>
      </w:r>
      <w:r w:rsidR="00DC4156" w:rsidRPr="00083DCE">
        <w:rPr>
          <w:sz w:val="28"/>
          <w:szCs w:val="28"/>
        </w:rPr>
        <w:t>как результат – несвоевременное и (или) некорректное предоставление отчетности, ухудшение качества управления</w:t>
      </w:r>
      <w:r w:rsidR="00CA1E63">
        <w:rPr>
          <w:sz w:val="28"/>
          <w:szCs w:val="28"/>
        </w:rPr>
        <w:t xml:space="preserve"> </w:t>
      </w:r>
      <w:r w:rsidR="00DC4156" w:rsidRPr="00083DCE">
        <w:rPr>
          <w:sz w:val="28"/>
          <w:szCs w:val="28"/>
        </w:rPr>
        <w:t>на уровне</w:t>
      </w:r>
      <w:r>
        <w:rPr>
          <w:sz w:val="28"/>
          <w:szCs w:val="28"/>
        </w:rPr>
        <w:t xml:space="preserve"> субъектов Российской Федерации.</w:t>
      </w:r>
    </w:p>
    <w:p w:rsidR="00EB12AA" w:rsidRPr="009A6F25" w:rsidRDefault="009A6F25" w:rsidP="009A6F25">
      <w:pPr>
        <w:pStyle w:val="11"/>
        <w:numPr>
          <w:ilvl w:val="0"/>
          <w:numId w:val="2"/>
        </w:numPr>
        <w:tabs>
          <w:tab w:val="left" w:pos="708"/>
          <w:tab w:val="left" w:pos="1134"/>
          <w:tab w:val="left" w:pos="1276"/>
          <w:tab w:val="left" w:pos="3540"/>
          <w:tab w:val="left" w:pos="4248"/>
          <w:tab w:val="left" w:pos="4956"/>
          <w:tab w:val="left" w:pos="5664"/>
          <w:tab w:val="left" w:pos="6372"/>
          <w:tab w:val="left" w:pos="7080"/>
          <w:tab w:val="left" w:pos="7788"/>
          <w:tab w:val="left" w:pos="8496"/>
          <w:tab w:val="left" w:pos="9204"/>
        </w:tabs>
        <w:spacing w:line="276" w:lineRule="auto"/>
        <w:ind w:left="0" w:firstLine="851"/>
        <w:jc w:val="both"/>
        <w:rPr>
          <w:rFonts w:eastAsiaTheme="minorHAnsi"/>
          <w:color w:val="auto"/>
          <w:sz w:val="28"/>
          <w:szCs w:val="28"/>
          <w:lang w:eastAsia="en-US"/>
        </w:rPr>
      </w:pPr>
      <w:r w:rsidRPr="009A6F25">
        <w:rPr>
          <w:sz w:val="28"/>
          <w:szCs w:val="28"/>
        </w:rPr>
        <w:t>С</w:t>
      </w:r>
      <w:r w:rsidR="00220402" w:rsidRPr="009A6F25">
        <w:rPr>
          <w:sz w:val="28"/>
          <w:szCs w:val="28"/>
        </w:rPr>
        <w:t>ущественная дифференциация финансовых возможностей субъектов Российской Федерации</w:t>
      </w:r>
      <w:r w:rsidR="00CA1E63">
        <w:rPr>
          <w:sz w:val="28"/>
          <w:szCs w:val="28"/>
        </w:rPr>
        <w:t>. Данный фактор</w:t>
      </w:r>
      <w:r w:rsidR="00220402" w:rsidRPr="009A6F25">
        <w:rPr>
          <w:sz w:val="28"/>
          <w:szCs w:val="28"/>
        </w:rPr>
        <w:t xml:space="preserve"> приводит к различной степени эффективности и результативности исполнения </w:t>
      </w:r>
      <w:r w:rsidR="00CA1E63">
        <w:rPr>
          <w:sz w:val="28"/>
          <w:szCs w:val="28"/>
        </w:rPr>
        <w:t>своих</w:t>
      </w:r>
      <w:r w:rsidR="00220402" w:rsidRPr="009A6F25">
        <w:rPr>
          <w:sz w:val="28"/>
          <w:szCs w:val="28"/>
        </w:rPr>
        <w:t xml:space="preserve"> полномочий в сфере реализации мероприятий Госпрограммы. Подавляющее большинство субъектов Российской Федерации являются дотационными. Ряд территорий относятся к высокодотационным субъектам Российской Федерации. Ограниченность возможностей региональных бюджетов может снижать эффективность исполнения ими собственных полномочий, а также приводить к росту межрегиональных различий в сфере реализации мероприятий Госпрограммы</w:t>
      </w:r>
      <w:r w:rsidRPr="009A6F25">
        <w:rPr>
          <w:color w:val="auto"/>
          <w:sz w:val="28"/>
          <w:szCs w:val="28"/>
        </w:rPr>
        <w:t>.</w:t>
      </w:r>
    </w:p>
    <w:p w:rsidR="009A6F25" w:rsidRDefault="009A6F25" w:rsidP="00790C5F">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color w:val="auto"/>
          <w:sz w:val="28"/>
          <w:szCs w:val="28"/>
          <w:lang w:eastAsia="en-US"/>
        </w:rPr>
      </w:pPr>
      <w:r w:rsidRPr="00F853BB">
        <w:rPr>
          <w:rFonts w:eastAsiaTheme="minorHAnsi"/>
          <w:color w:val="auto"/>
          <w:sz w:val="28"/>
          <w:szCs w:val="28"/>
          <w:lang w:eastAsia="en-US"/>
        </w:rPr>
        <w:t>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rFonts w:eastAsiaTheme="minorHAnsi"/>
          <w:color w:val="auto"/>
          <w:sz w:val="28"/>
          <w:szCs w:val="28"/>
          <w:lang w:eastAsia="en-US"/>
        </w:rPr>
        <w:t>.</w:t>
      </w:r>
    </w:p>
    <w:p w:rsidR="00186B12" w:rsidRPr="007C1DF3" w:rsidRDefault="00186B12" w:rsidP="00186B12">
      <w:pPr>
        <w:spacing w:after="0"/>
        <w:ind w:firstLine="720"/>
        <w:jc w:val="both"/>
        <w:outlineLvl w:val="1"/>
      </w:pPr>
      <w:r w:rsidRPr="007C1DF3">
        <w:t>С 2016 года субъектам Российской Федерации из федерального бюджета оказывается финансовая поддержка в виде консолидированной субсидии на реализацию мероприятий</w:t>
      </w:r>
      <w:r w:rsidRPr="0033798F">
        <w:t xml:space="preserve"> </w:t>
      </w:r>
      <w:r>
        <w:t>по</w:t>
      </w:r>
      <w:r w:rsidRPr="007C1DF3">
        <w:t>:</w:t>
      </w:r>
    </w:p>
    <w:p w:rsidR="00186B12" w:rsidRPr="007C1DF3" w:rsidRDefault="00186B12" w:rsidP="00186B12">
      <w:pPr>
        <w:spacing w:after="0"/>
        <w:ind w:firstLine="708"/>
        <w:jc w:val="both"/>
      </w:pPr>
      <w:r w:rsidRPr="007C1DF3">
        <w:t xml:space="preserve">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rsidR="00186B12" w:rsidRPr="007C1DF3" w:rsidRDefault="00186B12" w:rsidP="00186B12">
      <w:pPr>
        <w:spacing w:after="0"/>
        <w:ind w:firstLine="708"/>
        <w:jc w:val="both"/>
      </w:pPr>
      <w:r w:rsidRPr="007C1DF3">
        <w:t>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186B12" w:rsidRDefault="00186B12" w:rsidP="00186B1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eastAsiaTheme="minorHAnsi"/>
          <w:sz w:val="28"/>
          <w:szCs w:val="28"/>
        </w:rPr>
      </w:pPr>
      <w:r>
        <w:rPr>
          <w:rFonts w:eastAsiaTheme="minorHAnsi"/>
          <w:sz w:val="28"/>
          <w:szCs w:val="28"/>
        </w:rPr>
        <w:t>поддержке</w:t>
      </w:r>
      <w:r w:rsidRPr="00882086">
        <w:rPr>
          <w:rFonts w:eastAsiaTheme="minorHAnsi"/>
          <w:sz w:val="28"/>
          <w:szCs w:val="28"/>
        </w:rPr>
        <w:t xml:space="preserve"> учреждений спортивной направленности по адаптивной физической культуре и спорту в субъектах Российской Федерации</w:t>
      </w:r>
      <w:r>
        <w:rPr>
          <w:rFonts w:eastAsiaTheme="minorHAnsi"/>
          <w:sz w:val="28"/>
          <w:szCs w:val="28"/>
        </w:rPr>
        <w:t>.</w:t>
      </w:r>
    </w:p>
    <w:p w:rsidR="00186B12" w:rsidRPr="002828ED" w:rsidRDefault="00186B12" w:rsidP="00186B12">
      <w:pPr>
        <w:pStyle w:val="a5"/>
        <w:ind w:left="0" w:firstLine="708"/>
        <w:jc w:val="both"/>
      </w:pPr>
      <w:r w:rsidRPr="002828ED">
        <w:t>Начиная с 2019 года консолидированная субсидия из федерального бюджета предоставляется регионам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и реализацию мероприятий по поддержке учреждений спортивной направленности по адаптивной физической культуре и спорту.</w:t>
      </w:r>
    </w:p>
    <w:p w:rsidR="00186B12" w:rsidRDefault="00186B12" w:rsidP="00186B12">
      <w:pPr>
        <w:pStyle w:val="a5"/>
        <w:spacing w:after="0"/>
        <w:ind w:left="0" w:firstLine="708"/>
        <w:jc w:val="both"/>
      </w:pPr>
      <w:r w:rsidRPr="002828ED">
        <w:t xml:space="preserve">Реализация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 в том числе мероприятий </w:t>
      </w:r>
      <w:r w:rsidRPr="002828ED">
        <w:lastRenderedPageBreak/>
        <w:t xml:space="preserve">«дорожных карт», принятых в соответствии Федеральным законом от 1.12.2014 </w:t>
      </w:r>
      <w:r w:rsidR="00AA4118">
        <w:br/>
      </w:r>
      <w:r w:rsidRPr="002828ED">
        <w:t>№ 419-ФЗ</w:t>
      </w:r>
      <w:r>
        <w:t xml:space="preserve"> </w:t>
      </w:r>
      <w:r w:rsidRPr="002828ED">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86B12" w:rsidRDefault="00186B12" w:rsidP="00186B12">
      <w:pPr>
        <w:autoSpaceDE w:val="0"/>
        <w:autoSpaceDN w:val="0"/>
        <w:adjustRightInd w:val="0"/>
        <w:spacing w:after="0"/>
        <w:ind w:firstLine="708"/>
        <w:jc w:val="both"/>
      </w:pPr>
      <w:r>
        <w:t xml:space="preserve">Одновременно, </w:t>
      </w:r>
      <w:r w:rsidRPr="00150172">
        <w:t>в целях 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w:t>
      </w:r>
      <w:r>
        <w:t>х маломобильных групп населения в Госпрограмме сохранен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86B12" w:rsidRDefault="00186B12" w:rsidP="00186B12">
      <w:pPr>
        <w:autoSpaceDE w:val="0"/>
        <w:autoSpaceDN w:val="0"/>
        <w:adjustRightInd w:val="0"/>
        <w:spacing w:after="0"/>
        <w:ind w:firstLine="708"/>
        <w:jc w:val="both"/>
      </w:pPr>
      <w:r>
        <w:t xml:space="preserve">По итогам мониторинга фактическое значение указанного показателя на конец 2019 </w:t>
      </w:r>
      <w:r w:rsidRPr="0054674C">
        <w:t>составило 66,9%.</w:t>
      </w:r>
    </w:p>
    <w:p w:rsidR="0065200C" w:rsidRDefault="00186B12" w:rsidP="0065200C">
      <w:pPr>
        <w:autoSpaceDE w:val="0"/>
        <w:autoSpaceDN w:val="0"/>
        <w:adjustRightInd w:val="0"/>
        <w:spacing w:after="0"/>
        <w:ind w:firstLine="708"/>
        <w:jc w:val="both"/>
      </w:pPr>
      <w:r>
        <w:t xml:space="preserve">Вместе с тем, необходимо отметить, что в виду отсутствия финансирования из федерального бюджета мероприятий региональных программ по </w:t>
      </w:r>
      <w:r w:rsidRPr="007C1DF3">
        <w:t>обеспечению доступности</w:t>
      </w:r>
      <w:r>
        <w:t xml:space="preserve"> для инвалидов, а также дефицит средств региональных бюджетов, предусмотренных на указанные цели, рядом субъектов Российской Федерации плановые значения данного показателя не были достигнуты, либо вовсе остались на уровне 2018 года (Республика Калмыкия, Республика Саха (Якутия), Чеченская Республика, Белгородская область, Магаданская область). </w:t>
      </w:r>
    </w:p>
    <w:p w:rsidR="0065200C" w:rsidRPr="0065200C" w:rsidRDefault="0065200C" w:rsidP="0065200C">
      <w:pPr>
        <w:pStyle w:val="a5"/>
        <w:numPr>
          <w:ilvl w:val="0"/>
          <w:numId w:val="2"/>
        </w:numPr>
        <w:autoSpaceDE w:val="0"/>
        <w:autoSpaceDN w:val="0"/>
        <w:adjustRightInd w:val="0"/>
        <w:spacing w:after="0"/>
        <w:ind w:left="0" w:firstLine="851"/>
        <w:jc w:val="both"/>
      </w:pPr>
      <w:r w:rsidRPr="0065200C">
        <w:t xml:space="preserve">Несмотря на </w:t>
      </w:r>
      <w:proofErr w:type="spellStart"/>
      <w:r w:rsidRPr="0065200C">
        <w:t>сформированность</w:t>
      </w:r>
      <w:proofErr w:type="spellEnd"/>
      <w:r w:rsidRPr="0065200C">
        <w:t xml:space="preserve"> единых методических и методологических подходов, развитие реабилитации и </w:t>
      </w:r>
      <w:proofErr w:type="spellStart"/>
      <w:r w:rsidRPr="0065200C">
        <w:t>абилитации</w:t>
      </w:r>
      <w:proofErr w:type="spellEnd"/>
      <w:r w:rsidRPr="0065200C">
        <w:t xml:space="preserve"> инвалидов и детей-инвалидов, основанной на комплексном подходе, в субъектах Российской Федерации осуществляется разными темпами. Это обусловлено различием в финансовых возможностях субъектов Российской Федерации, в обеспеченности кадрами; недостаточностью в организациях, осуществляющих мероприятия по реабилитации и </w:t>
      </w:r>
      <w:proofErr w:type="spellStart"/>
      <w:r w:rsidRPr="0065200C">
        <w:t>абилитации</w:t>
      </w:r>
      <w:proofErr w:type="spellEnd"/>
      <w:r w:rsidRPr="0065200C">
        <w:t xml:space="preserve"> инвалидов и детей-инвалидов соответствующего оборудования для их проведения; </w:t>
      </w:r>
      <w:r w:rsidR="005E0BEA">
        <w:t>недостаточностью</w:t>
      </w:r>
      <w:r w:rsidRPr="0065200C">
        <w:t xml:space="preserve"> региональных информационных ресурсов.</w:t>
      </w:r>
    </w:p>
    <w:p w:rsidR="0065200C" w:rsidRDefault="0065200C" w:rsidP="0065200C">
      <w:pPr>
        <w:pStyle w:val="a5"/>
        <w:spacing w:after="0"/>
        <w:ind w:left="0" w:firstLine="851"/>
        <w:jc w:val="both"/>
      </w:pPr>
      <w:r w:rsidRPr="0065200C">
        <w:t xml:space="preserve">При этом регионы активно включаются в работу по формированию региональной системы комплексной реабилитации и </w:t>
      </w:r>
      <w:proofErr w:type="spellStart"/>
      <w:r w:rsidRPr="0065200C">
        <w:t>абилитации</w:t>
      </w:r>
      <w:proofErr w:type="spellEnd"/>
      <w:r w:rsidRPr="0065200C">
        <w:t xml:space="preserve"> инвалидов и детей-инвалидов программным методом. Данный факт подтверждается тем, что в 2019 году для участия в Госпрограмме в 2020 году в Минтруд России проекты региональных программ по формированию системы комплексной реабилитации и </w:t>
      </w:r>
      <w:proofErr w:type="spellStart"/>
      <w:r w:rsidRPr="0065200C">
        <w:t>абилитации</w:t>
      </w:r>
      <w:proofErr w:type="spellEnd"/>
      <w:r w:rsidRPr="0065200C">
        <w:t xml:space="preserve"> инвалидов и детей-инвалидов, разработанные на основе типовой программы субъекта Российской Федерации</w:t>
      </w:r>
      <w:r w:rsidR="00AE4C1B">
        <w:t>, представили 60 регионов из 85.</w:t>
      </w:r>
    </w:p>
    <w:p w:rsidR="0065200C" w:rsidRPr="0065200C" w:rsidRDefault="0065200C" w:rsidP="0065200C">
      <w:pPr>
        <w:pStyle w:val="a5"/>
        <w:spacing w:after="0"/>
        <w:ind w:left="0" w:firstLine="708"/>
        <w:jc w:val="both"/>
      </w:pPr>
      <w:r w:rsidRPr="0065200C">
        <w:t xml:space="preserve">Кроме того, необходимо отметить, что средства федерального бюджета, выделенные субъектам Российской Федерации в 2019 году на реализацию </w:t>
      </w:r>
      <w:r w:rsidRPr="0065200C">
        <w:lastRenderedPageBreak/>
        <w:t xml:space="preserve">мероприятий по формированию региональной системы комплексной реабилитации и </w:t>
      </w:r>
      <w:proofErr w:type="spellStart"/>
      <w:r w:rsidRPr="0065200C">
        <w:t>абилитации</w:t>
      </w:r>
      <w:proofErr w:type="spellEnd"/>
      <w:r w:rsidRPr="0065200C">
        <w:t xml:space="preserve"> инвалидов и детей-инвалидов, освоены на 98%.</w:t>
      </w:r>
    </w:p>
    <w:p w:rsidR="006550AB" w:rsidRPr="006550AB" w:rsidRDefault="006550AB" w:rsidP="0065200C">
      <w:pPr>
        <w:spacing w:after="0"/>
        <w:ind w:firstLine="851"/>
        <w:contextualSpacing/>
        <w:jc w:val="both"/>
      </w:pPr>
      <w:r w:rsidRPr="0065200C">
        <w:t>Также следует отмет</w:t>
      </w:r>
      <w:r w:rsidRPr="006550AB">
        <w:t>ить, что обеспечение инвалидов техническими средствами реабилитации (далее – ТСР) осуществляется через организации, отобранные уполномоченными органами в соответствии с Федеральным законом № 44-ФЗ.</w:t>
      </w:r>
    </w:p>
    <w:p w:rsidR="006550AB" w:rsidRPr="006550AB" w:rsidRDefault="006550AB" w:rsidP="006550AB">
      <w:pPr>
        <w:spacing w:after="0"/>
        <w:ind w:firstLine="851"/>
        <w:contextualSpacing/>
        <w:jc w:val="both"/>
      </w:pPr>
      <w:r w:rsidRPr="006550AB">
        <w:t>Перечень ТСР, предоставляемых инвалидам за счет средств федерального бюджета, определен распоряжением Правительства Рос</w:t>
      </w:r>
      <w:r w:rsidR="00E12EE2">
        <w:t xml:space="preserve">сийской Федерации </w:t>
      </w:r>
      <w:r w:rsidR="00365037">
        <w:br/>
      </w:r>
      <w:r w:rsidR="00E12EE2">
        <w:t>от 30.12.</w:t>
      </w:r>
      <w:r w:rsidRPr="006550AB">
        <w:t>2005 № 2347-р, в который включены изделия как серийного производства (пример: медицинские термометры и тонометры с речевым выходом; телевизоры с телетекстом для приема программ со скрытыми субтитрами; телефонные устройства с текстовым выходом),  так и индивидуального изготовления (протезы различных модификаций, сложная ортопедическая обувь), являющиеся по своей конструкции более сложными изделиями, предоставление которых обусловлено не только длительными сроками, необходимыми для заключения государственного контракта в соответствии законодательством о закупках товаров, работ, услуг для обеспечения государственных и муниципальных нужд, но и сроками, необходимыми для их индивидуального подбора и изготовления.</w:t>
      </w:r>
    </w:p>
    <w:p w:rsidR="006550AB" w:rsidRPr="006550AB" w:rsidRDefault="006550AB" w:rsidP="006550AB">
      <w:pPr>
        <w:spacing w:after="0"/>
        <w:ind w:firstLine="851"/>
        <w:contextualSpacing/>
        <w:jc w:val="both"/>
      </w:pPr>
      <w:r w:rsidRPr="006550AB">
        <w:t>Индивидуальное изготовление изделий – это длительный процесс, заключающийся в проведении комплекса медицинских, технических и организационных мероприятий, требующий прибытия инвалида в организацию, осуществляющую изготовление изделия.</w:t>
      </w:r>
    </w:p>
    <w:p w:rsidR="006550AB" w:rsidRPr="006550AB" w:rsidRDefault="006550AB" w:rsidP="006550AB">
      <w:pPr>
        <w:spacing w:after="0"/>
        <w:ind w:firstLine="851"/>
        <w:contextualSpacing/>
        <w:jc w:val="both"/>
      </w:pPr>
      <w:r w:rsidRPr="006550AB">
        <w:t>Срок обеспечения инвалида ТСР индивидуального изготовления может составлять до 60 дней с момента обращения в отобранную уполномоченным органом организацию.</w:t>
      </w:r>
    </w:p>
    <w:p w:rsidR="006550AB" w:rsidRPr="006550AB" w:rsidRDefault="006550AB" w:rsidP="006550AB">
      <w:pPr>
        <w:spacing w:after="0"/>
        <w:ind w:firstLine="851"/>
        <w:contextualSpacing/>
        <w:jc w:val="both"/>
      </w:pPr>
      <w:r w:rsidRPr="006550AB">
        <w:t>При формировании документации о закупке таких изделий уполномоченным органам необходимо учитывать рекомендации, изложенные в индивидуальной программе реабилитации или </w:t>
      </w:r>
      <w:proofErr w:type="spellStart"/>
      <w:r w:rsidRPr="006550AB">
        <w:t>абилитации</w:t>
      </w:r>
      <w:proofErr w:type="spellEnd"/>
      <w:r w:rsidRPr="006550AB">
        <w:t xml:space="preserve"> инвалида, что также увеличивает сроки подготовки документации об их закупке.</w:t>
      </w:r>
    </w:p>
    <w:p w:rsidR="00746124" w:rsidRPr="002E72D0" w:rsidRDefault="007065E2" w:rsidP="00FF6431">
      <w:pPr>
        <w:pStyle w:val="a5"/>
        <w:numPr>
          <w:ilvl w:val="0"/>
          <w:numId w:val="2"/>
        </w:numPr>
        <w:spacing w:after="0"/>
        <w:ind w:left="0" w:firstLine="851"/>
        <w:jc w:val="both"/>
      </w:pPr>
      <w:r>
        <w:t>П</w:t>
      </w:r>
      <w:r w:rsidR="00746124" w:rsidRPr="002E72D0">
        <w:t>оложительным фактор</w:t>
      </w:r>
      <w:r w:rsidR="00CC2D10" w:rsidRPr="002E72D0">
        <w:t>ом</w:t>
      </w:r>
      <w:r w:rsidR="00746124" w:rsidRPr="002E72D0">
        <w:t xml:space="preserve"> </w:t>
      </w:r>
      <w:r w:rsidR="00CC2D10" w:rsidRPr="002E72D0">
        <w:t>является</w:t>
      </w:r>
      <w:r w:rsidR="00746124" w:rsidRPr="002E72D0">
        <w:t xml:space="preserve"> минимизаци</w:t>
      </w:r>
      <w:r w:rsidR="00C57111" w:rsidRPr="002E72D0">
        <w:t>я</w:t>
      </w:r>
      <w:r w:rsidR="00E201D2">
        <w:t xml:space="preserve"> </w:t>
      </w:r>
      <w:r w:rsidR="00746124" w:rsidRPr="002E72D0">
        <w:t>рисков</w:t>
      </w:r>
      <w:r w:rsidR="00E201D2">
        <w:t xml:space="preserve"> неиспользования средств федерального бюджета</w:t>
      </w:r>
      <w:r w:rsidR="00746124" w:rsidRPr="002E72D0">
        <w:t>.</w:t>
      </w:r>
      <w:r w:rsidR="00E201D2">
        <w:t xml:space="preserve"> Так,</w:t>
      </w:r>
      <w:r w:rsidR="007245CF">
        <w:t xml:space="preserve"> проводимый Минтрудом России</w:t>
      </w:r>
      <w:r w:rsidR="00E201D2">
        <w:t xml:space="preserve"> еженедельный мониторинг расходования средств федерального бюджета, предоставленных в рамках Госпрограммы, в виде субсидии бюджетам субъектов Российской Федерации, </w:t>
      </w:r>
      <w:r w:rsidR="007245CF">
        <w:t>позволил своевременно принять меры</w:t>
      </w:r>
      <w:r w:rsidR="007245CF" w:rsidRPr="000835D3">
        <w:t xml:space="preserve"> </w:t>
      </w:r>
      <w:r w:rsidR="007245CF">
        <w:t>по</w:t>
      </w:r>
      <w:r w:rsidR="00E201D2" w:rsidRPr="000835D3">
        <w:t xml:space="preserve"> обеспечени</w:t>
      </w:r>
      <w:r w:rsidR="007245CF">
        <w:t>ю</w:t>
      </w:r>
      <w:r w:rsidR="00E201D2" w:rsidRPr="000835D3">
        <w:t xml:space="preserve"> своевременного, полного и результативного использования бюджетных</w:t>
      </w:r>
      <w:r w:rsidR="00E201D2">
        <w:t xml:space="preserve"> ассигнований, предусмотренных на реализацию мероприятий Госпрограммы.</w:t>
      </w:r>
    </w:p>
    <w:p w:rsidR="00CF0C8A" w:rsidRPr="00C925B9" w:rsidRDefault="00CF0C8A" w:rsidP="00CF0C8A">
      <w:pPr>
        <w:pStyle w:val="a5"/>
        <w:spacing w:after="0"/>
        <w:ind w:left="0" w:firstLine="708"/>
        <w:jc w:val="both"/>
      </w:pPr>
      <w:r w:rsidRPr="00C925B9">
        <w:t xml:space="preserve">Кроме того, фактором, положительно повлиявшим на ход реализации </w:t>
      </w:r>
      <w:r>
        <w:t xml:space="preserve">мероприятий </w:t>
      </w:r>
      <w:r w:rsidRPr="00C925B9">
        <w:t xml:space="preserve">Госпрограммы, послужило внесение изменений в Методику </w:t>
      </w:r>
      <w:r w:rsidRPr="00C925B9">
        <w:lastRenderedPageBreak/>
        <w:t>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утвержденную постановлением Правител</w:t>
      </w:r>
      <w:r w:rsidR="00C60773">
        <w:t>ьства Российской Федерации от</w:t>
      </w:r>
      <w:r w:rsidR="00AA4118">
        <w:t xml:space="preserve"> </w:t>
      </w:r>
      <w:r w:rsidR="00C60773">
        <w:t>11.11.</w:t>
      </w:r>
      <w:r w:rsidRPr="00C925B9">
        <w:t>2005</w:t>
      </w:r>
      <w:r w:rsidR="00C60773">
        <w:t xml:space="preserve"> </w:t>
      </w:r>
      <w:r w:rsidRPr="00C925B9">
        <w:t xml:space="preserve">№ 677 (постановление Правительства Российской </w:t>
      </w:r>
      <w:r w:rsidR="00C60773">
        <w:t xml:space="preserve">Федерации от 10.05.2018 </w:t>
      </w:r>
      <w:r w:rsidRPr="00C925B9">
        <w:t>№ 565).</w:t>
      </w:r>
    </w:p>
    <w:p w:rsidR="00CF0C8A" w:rsidRPr="00C925B9" w:rsidRDefault="00CF0C8A" w:rsidP="00CF0C8A">
      <w:pPr>
        <w:pStyle w:val="a5"/>
        <w:autoSpaceDE w:val="0"/>
        <w:autoSpaceDN w:val="0"/>
        <w:adjustRightInd w:val="0"/>
        <w:spacing w:after="0"/>
        <w:ind w:left="0"/>
        <w:jc w:val="both"/>
      </w:pPr>
      <w:r w:rsidRPr="00C925B9">
        <w:tab/>
        <w:t>Указанные изменения   позволили  повысить качество планирования и  распределения между субъектами Российской Федерации субвенций из федерального бюджета бюджетам субъектов Российской Федерации, предусмотренных на осуществление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CF0C8A" w:rsidRDefault="00CF0C8A" w:rsidP="00CF0C8A">
      <w:pPr>
        <w:pStyle w:val="a5"/>
        <w:autoSpaceDE w:val="0"/>
        <w:autoSpaceDN w:val="0"/>
        <w:adjustRightInd w:val="0"/>
        <w:spacing w:after="0"/>
        <w:ind w:left="0" w:firstLine="708"/>
        <w:jc w:val="both"/>
      </w:pPr>
      <w:r w:rsidRPr="00C925B9">
        <w:t>Так, проведенный анализ освоения субъектами Российской Федерации средств федерального бюджета, выделенных в 2019 году на выплату компенсации страховых премий по договору обязательного страхования гражданской ответственности владельцев транспортных средств показал, что освоение средст</w:t>
      </w:r>
      <w:r w:rsidR="00456C12">
        <w:t>в по данной выплате на 1.01.</w:t>
      </w:r>
      <w:r w:rsidRPr="00C925B9">
        <w:t>2020 с</w:t>
      </w:r>
      <w:r>
        <w:t>оставило 91</w:t>
      </w:r>
      <w:r w:rsidRPr="00C925B9">
        <w:t>%.</w:t>
      </w:r>
    </w:p>
    <w:p w:rsidR="00251313" w:rsidRDefault="00251313" w:rsidP="00251313">
      <w:pPr>
        <w:spacing w:after="0"/>
        <w:ind w:firstLine="851"/>
        <w:contextualSpacing/>
        <w:jc w:val="both"/>
      </w:pPr>
      <w:bookmarkStart w:id="0" w:name="_GoBack"/>
      <w:bookmarkEnd w:id="0"/>
    </w:p>
    <w:p w:rsidR="00251313" w:rsidRDefault="00251313" w:rsidP="00251313">
      <w:pPr>
        <w:spacing w:after="0"/>
        <w:ind w:firstLine="851"/>
        <w:contextualSpacing/>
        <w:jc w:val="both"/>
      </w:pPr>
    </w:p>
    <w:p w:rsidR="00746124" w:rsidRDefault="00746124" w:rsidP="002E72D0">
      <w:pPr>
        <w:spacing w:after="0"/>
        <w:ind w:firstLine="851"/>
        <w:contextualSpacing/>
        <w:jc w:val="both"/>
      </w:pPr>
    </w:p>
    <w:p w:rsidR="00746124" w:rsidRPr="00803FA3" w:rsidRDefault="00746124" w:rsidP="002E72D0">
      <w:pPr>
        <w:spacing w:after="0"/>
        <w:ind w:firstLine="851"/>
        <w:contextualSpacing/>
        <w:jc w:val="both"/>
      </w:pPr>
    </w:p>
    <w:sectPr w:rsidR="00746124" w:rsidRPr="00803FA3" w:rsidSect="00AA4118">
      <w:headerReference w:type="default" r:id="rId7"/>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BF" w:rsidRDefault="00802ABF" w:rsidP="004F747E">
      <w:pPr>
        <w:spacing w:after="0" w:line="240" w:lineRule="auto"/>
      </w:pPr>
      <w:r>
        <w:separator/>
      </w:r>
    </w:p>
  </w:endnote>
  <w:endnote w:type="continuationSeparator" w:id="0">
    <w:p w:rsidR="00802ABF" w:rsidRDefault="00802ABF" w:rsidP="004F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BF" w:rsidRDefault="00802ABF" w:rsidP="004F747E">
      <w:pPr>
        <w:spacing w:after="0" w:line="240" w:lineRule="auto"/>
      </w:pPr>
      <w:r>
        <w:separator/>
      </w:r>
    </w:p>
  </w:footnote>
  <w:footnote w:type="continuationSeparator" w:id="0">
    <w:p w:rsidR="00802ABF" w:rsidRDefault="00802ABF" w:rsidP="004F7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58047"/>
      <w:docPartObj>
        <w:docPartGallery w:val="Page Numbers (Top of Page)"/>
        <w:docPartUnique/>
      </w:docPartObj>
    </w:sdtPr>
    <w:sdtEndPr/>
    <w:sdtContent>
      <w:p w:rsidR="004F747E" w:rsidRDefault="004F747E">
        <w:pPr>
          <w:pStyle w:val="a7"/>
          <w:jc w:val="center"/>
        </w:pPr>
        <w:r>
          <w:fldChar w:fldCharType="begin"/>
        </w:r>
        <w:r>
          <w:instrText>PAGE   \* MERGEFORMAT</w:instrText>
        </w:r>
        <w:r>
          <w:fldChar w:fldCharType="separate"/>
        </w:r>
        <w:r w:rsidR="00456C12">
          <w:rPr>
            <w:noProof/>
          </w:rPr>
          <w:t>2</w:t>
        </w:r>
        <w:r>
          <w:fldChar w:fldCharType="end"/>
        </w:r>
      </w:p>
    </w:sdtContent>
  </w:sdt>
  <w:p w:rsidR="004F747E" w:rsidRDefault="004F74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18E"/>
    <w:multiLevelType w:val="hybridMultilevel"/>
    <w:tmpl w:val="61C06088"/>
    <w:lvl w:ilvl="0" w:tplc="6ACEBCF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9C15F91"/>
    <w:multiLevelType w:val="hybridMultilevel"/>
    <w:tmpl w:val="0A88799E"/>
    <w:lvl w:ilvl="0" w:tplc="E0B28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416174A"/>
    <w:multiLevelType w:val="hybridMultilevel"/>
    <w:tmpl w:val="0A88799E"/>
    <w:lvl w:ilvl="0" w:tplc="E0B28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52267B3"/>
    <w:multiLevelType w:val="hybridMultilevel"/>
    <w:tmpl w:val="0A88799E"/>
    <w:lvl w:ilvl="0" w:tplc="E0B28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24"/>
    <w:rsid w:val="00025CB5"/>
    <w:rsid w:val="00047A9F"/>
    <w:rsid w:val="00083DCE"/>
    <w:rsid w:val="000B4BAA"/>
    <w:rsid w:val="00105EB1"/>
    <w:rsid w:val="001103DE"/>
    <w:rsid w:val="001372C5"/>
    <w:rsid w:val="0015682D"/>
    <w:rsid w:val="00161C6F"/>
    <w:rsid w:val="00182D40"/>
    <w:rsid w:val="00186B12"/>
    <w:rsid w:val="0019511A"/>
    <w:rsid w:val="001E74BC"/>
    <w:rsid w:val="00220402"/>
    <w:rsid w:val="0022183F"/>
    <w:rsid w:val="00251313"/>
    <w:rsid w:val="00260672"/>
    <w:rsid w:val="00265066"/>
    <w:rsid w:val="002718D2"/>
    <w:rsid w:val="00272E18"/>
    <w:rsid w:val="00275D14"/>
    <w:rsid w:val="00284A65"/>
    <w:rsid w:val="00286930"/>
    <w:rsid w:val="00296EF3"/>
    <w:rsid w:val="002A5823"/>
    <w:rsid w:val="002A5FA7"/>
    <w:rsid w:val="002E72D0"/>
    <w:rsid w:val="002F5438"/>
    <w:rsid w:val="00311844"/>
    <w:rsid w:val="00351787"/>
    <w:rsid w:val="00365037"/>
    <w:rsid w:val="003766BF"/>
    <w:rsid w:val="003D2B95"/>
    <w:rsid w:val="00456C12"/>
    <w:rsid w:val="00465AD8"/>
    <w:rsid w:val="004D4682"/>
    <w:rsid w:val="004F747E"/>
    <w:rsid w:val="005345EA"/>
    <w:rsid w:val="00552664"/>
    <w:rsid w:val="00572C56"/>
    <w:rsid w:val="00593263"/>
    <w:rsid w:val="00597E43"/>
    <w:rsid w:val="005E0BEA"/>
    <w:rsid w:val="0060665D"/>
    <w:rsid w:val="00630052"/>
    <w:rsid w:val="006417DB"/>
    <w:rsid w:val="0065200C"/>
    <w:rsid w:val="00653989"/>
    <w:rsid w:val="006550AB"/>
    <w:rsid w:val="00666974"/>
    <w:rsid w:val="00672E9C"/>
    <w:rsid w:val="00687AA5"/>
    <w:rsid w:val="006927D8"/>
    <w:rsid w:val="006A77A7"/>
    <w:rsid w:val="006E0DFF"/>
    <w:rsid w:val="006E4C8C"/>
    <w:rsid w:val="007065E2"/>
    <w:rsid w:val="007245CF"/>
    <w:rsid w:val="007251B6"/>
    <w:rsid w:val="00746124"/>
    <w:rsid w:val="007549AF"/>
    <w:rsid w:val="00790C5F"/>
    <w:rsid w:val="007942DD"/>
    <w:rsid w:val="007A005A"/>
    <w:rsid w:val="007F2DBC"/>
    <w:rsid w:val="00802ABF"/>
    <w:rsid w:val="00803FA3"/>
    <w:rsid w:val="008079A0"/>
    <w:rsid w:val="0081110B"/>
    <w:rsid w:val="00822A8C"/>
    <w:rsid w:val="008375D0"/>
    <w:rsid w:val="008645BE"/>
    <w:rsid w:val="00886949"/>
    <w:rsid w:val="009056EE"/>
    <w:rsid w:val="009170C9"/>
    <w:rsid w:val="009A6F25"/>
    <w:rsid w:val="009B3E0D"/>
    <w:rsid w:val="009E49DA"/>
    <w:rsid w:val="009F2C75"/>
    <w:rsid w:val="00A30618"/>
    <w:rsid w:val="00A324C0"/>
    <w:rsid w:val="00AA40B9"/>
    <w:rsid w:val="00AA4118"/>
    <w:rsid w:val="00AA533B"/>
    <w:rsid w:val="00AE3563"/>
    <w:rsid w:val="00AE4C1B"/>
    <w:rsid w:val="00B710C8"/>
    <w:rsid w:val="00B857C7"/>
    <w:rsid w:val="00BA0C50"/>
    <w:rsid w:val="00C4536D"/>
    <w:rsid w:val="00C47734"/>
    <w:rsid w:val="00C5117C"/>
    <w:rsid w:val="00C57111"/>
    <w:rsid w:val="00C60773"/>
    <w:rsid w:val="00C6238E"/>
    <w:rsid w:val="00CA1E63"/>
    <w:rsid w:val="00CB22C2"/>
    <w:rsid w:val="00CC2D10"/>
    <w:rsid w:val="00CC6A13"/>
    <w:rsid w:val="00CF0C8A"/>
    <w:rsid w:val="00D072BF"/>
    <w:rsid w:val="00D12761"/>
    <w:rsid w:val="00D2319A"/>
    <w:rsid w:val="00D54B39"/>
    <w:rsid w:val="00D63732"/>
    <w:rsid w:val="00D87B7B"/>
    <w:rsid w:val="00D94AC7"/>
    <w:rsid w:val="00DA2ADD"/>
    <w:rsid w:val="00DC2121"/>
    <w:rsid w:val="00DC4156"/>
    <w:rsid w:val="00DD229F"/>
    <w:rsid w:val="00DE27DF"/>
    <w:rsid w:val="00DE4C67"/>
    <w:rsid w:val="00E12EE2"/>
    <w:rsid w:val="00E201D2"/>
    <w:rsid w:val="00E35A1C"/>
    <w:rsid w:val="00EB12AA"/>
    <w:rsid w:val="00ED5EF4"/>
    <w:rsid w:val="00F805B2"/>
    <w:rsid w:val="00F82CC1"/>
    <w:rsid w:val="00FA563B"/>
    <w:rsid w:val="00FD7F14"/>
    <w:rsid w:val="00FF1ABC"/>
    <w:rsid w:val="00FF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D86BF-E8E8-4598-8360-B2BB871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AF"/>
  </w:style>
  <w:style w:type="paragraph" w:styleId="1">
    <w:name w:val="heading 1"/>
    <w:basedOn w:val="a"/>
    <w:link w:val="10"/>
    <w:uiPriority w:val="9"/>
    <w:qFormat/>
    <w:rsid w:val="007549A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754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49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49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49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49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49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49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549AF"/>
    <w:rPr>
      <w:rFonts w:asciiTheme="majorHAnsi" w:eastAsiaTheme="majorEastAsia" w:hAnsiTheme="majorHAnsi" w:cstheme="majorBidi"/>
      <w:color w:val="243F60" w:themeColor="accent1" w:themeShade="7F"/>
    </w:rPr>
  </w:style>
  <w:style w:type="character" w:styleId="a3">
    <w:name w:val="Strong"/>
    <w:basedOn w:val="a0"/>
    <w:uiPriority w:val="22"/>
    <w:qFormat/>
    <w:rsid w:val="007549AF"/>
    <w:rPr>
      <w:b/>
      <w:bCs/>
    </w:rPr>
  </w:style>
  <w:style w:type="paragraph" w:styleId="a4">
    <w:name w:val="No Spacing"/>
    <w:uiPriority w:val="1"/>
    <w:qFormat/>
    <w:rsid w:val="007549AF"/>
    <w:pPr>
      <w:spacing w:after="0" w:line="240" w:lineRule="auto"/>
    </w:pPr>
  </w:style>
  <w:style w:type="paragraph" w:styleId="a5">
    <w:name w:val="List Paragraph"/>
    <w:basedOn w:val="a"/>
    <w:link w:val="a6"/>
    <w:uiPriority w:val="34"/>
    <w:qFormat/>
    <w:rsid w:val="007549AF"/>
    <w:pPr>
      <w:ind w:left="720"/>
      <w:contextualSpacing/>
    </w:pPr>
  </w:style>
  <w:style w:type="paragraph" w:styleId="a7">
    <w:name w:val="header"/>
    <w:basedOn w:val="a"/>
    <w:link w:val="a8"/>
    <w:uiPriority w:val="99"/>
    <w:unhideWhenUsed/>
    <w:rsid w:val="004F74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47E"/>
  </w:style>
  <w:style w:type="paragraph" w:styleId="a9">
    <w:name w:val="footer"/>
    <w:basedOn w:val="a"/>
    <w:link w:val="aa"/>
    <w:uiPriority w:val="99"/>
    <w:unhideWhenUsed/>
    <w:rsid w:val="004F74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747E"/>
  </w:style>
  <w:style w:type="paragraph" w:customStyle="1" w:styleId="ConsPlusNormal">
    <w:name w:val="ConsPlusNormal"/>
    <w:rsid w:val="00182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C47734"/>
    <w:pPr>
      <w:spacing w:after="0" w:line="240" w:lineRule="auto"/>
    </w:pPr>
    <w:rPr>
      <w:rFonts w:eastAsia="ヒラギノ角ゴ Pro W3"/>
      <w:color w:val="000000"/>
      <w:sz w:val="24"/>
      <w:szCs w:val="20"/>
      <w:lang w:eastAsia="ru-RU"/>
    </w:rPr>
  </w:style>
  <w:style w:type="character" w:customStyle="1" w:styleId="a6">
    <w:name w:val="Абзац списка Знак"/>
    <w:link w:val="a5"/>
    <w:uiPriority w:val="34"/>
    <w:locked/>
    <w:rsid w:val="00186B12"/>
  </w:style>
  <w:style w:type="paragraph" w:styleId="ab">
    <w:name w:val="Balloon Text"/>
    <w:basedOn w:val="a"/>
    <w:link w:val="ac"/>
    <w:uiPriority w:val="99"/>
    <w:semiHidden/>
    <w:unhideWhenUsed/>
    <w:rsid w:val="00AA411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4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1485">
      <w:bodyDiv w:val="1"/>
      <w:marLeft w:val="0"/>
      <w:marRight w:val="0"/>
      <w:marTop w:val="0"/>
      <w:marBottom w:val="0"/>
      <w:divBdr>
        <w:top w:val="none" w:sz="0" w:space="0" w:color="auto"/>
        <w:left w:val="none" w:sz="0" w:space="0" w:color="auto"/>
        <w:bottom w:val="none" w:sz="0" w:space="0" w:color="auto"/>
        <w:right w:val="none" w:sz="0" w:space="0" w:color="auto"/>
      </w:divBdr>
    </w:div>
    <w:div w:id="304160113">
      <w:bodyDiv w:val="1"/>
      <w:marLeft w:val="0"/>
      <w:marRight w:val="0"/>
      <w:marTop w:val="0"/>
      <w:marBottom w:val="0"/>
      <w:divBdr>
        <w:top w:val="none" w:sz="0" w:space="0" w:color="auto"/>
        <w:left w:val="none" w:sz="0" w:space="0" w:color="auto"/>
        <w:bottom w:val="none" w:sz="0" w:space="0" w:color="auto"/>
        <w:right w:val="none" w:sz="0" w:space="0" w:color="auto"/>
      </w:divBdr>
    </w:div>
    <w:div w:id="1047798040">
      <w:bodyDiv w:val="1"/>
      <w:marLeft w:val="0"/>
      <w:marRight w:val="0"/>
      <w:marTop w:val="0"/>
      <w:marBottom w:val="0"/>
      <w:divBdr>
        <w:top w:val="none" w:sz="0" w:space="0" w:color="auto"/>
        <w:left w:val="none" w:sz="0" w:space="0" w:color="auto"/>
        <w:bottom w:val="none" w:sz="0" w:space="0" w:color="auto"/>
        <w:right w:val="none" w:sz="0" w:space="0" w:color="auto"/>
      </w:divBdr>
    </w:div>
    <w:div w:id="1322923470">
      <w:bodyDiv w:val="1"/>
      <w:marLeft w:val="0"/>
      <w:marRight w:val="0"/>
      <w:marTop w:val="0"/>
      <w:marBottom w:val="0"/>
      <w:divBdr>
        <w:top w:val="none" w:sz="0" w:space="0" w:color="auto"/>
        <w:left w:val="none" w:sz="0" w:space="0" w:color="auto"/>
        <w:bottom w:val="none" w:sz="0" w:space="0" w:color="auto"/>
        <w:right w:val="none" w:sz="0" w:space="0" w:color="auto"/>
      </w:divBdr>
    </w:div>
    <w:div w:id="1523277388">
      <w:bodyDiv w:val="1"/>
      <w:marLeft w:val="0"/>
      <w:marRight w:val="0"/>
      <w:marTop w:val="0"/>
      <w:marBottom w:val="0"/>
      <w:divBdr>
        <w:top w:val="none" w:sz="0" w:space="0" w:color="auto"/>
        <w:left w:val="none" w:sz="0" w:space="0" w:color="auto"/>
        <w:bottom w:val="none" w:sz="0" w:space="0" w:color="auto"/>
        <w:right w:val="none" w:sz="0" w:space="0" w:color="auto"/>
      </w:divBdr>
    </w:div>
    <w:div w:id="1927421459">
      <w:bodyDiv w:val="1"/>
      <w:marLeft w:val="0"/>
      <w:marRight w:val="0"/>
      <w:marTop w:val="0"/>
      <w:marBottom w:val="0"/>
      <w:divBdr>
        <w:top w:val="none" w:sz="0" w:space="0" w:color="auto"/>
        <w:left w:val="none" w:sz="0" w:space="0" w:color="auto"/>
        <w:bottom w:val="none" w:sz="0" w:space="0" w:color="auto"/>
        <w:right w:val="none" w:sz="0" w:space="0" w:color="auto"/>
      </w:divBdr>
    </w:div>
    <w:div w:id="20693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BernovskayaAM</dc:creator>
  <cp:lastModifiedBy>Борисова Ольга Владимировна</cp:lastModifiedBy>
  <cp:revision>6</cp:revision>
  <cp:lastPrinted>2020-02-21T09:54:00Z</cp:lastPrinted>
  <dcterms:created xsi:type="dcterms:W3CDTF">2020-02-21T09:23:00Z</dcterms:created>
  <dcterms:modified xsi:type="dcterms:W3CDTF">2020-02-21T12:33:00Z</dcterms:modified>
</cp:coreProperties>
</file>