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7"/>
      </w:tblGrid>
      <w:tr w:rsidR="00FD1D3E" w:rsidRPr="00827E89" w:rsidTr="002E0767">
        <w:tc>
          <w:tcPr>
            <w:tcW w:w="5700" w:type="dxa"/>
          </w:tcPr>
          <w:p w:rsidR="00FD1D3E" w:rsidRPr="009E560F" w:rsidRDefault="00FD1D3E" w:rsidP="002E0767">
            <w:pPr>
              <w:widowControl w:val="0"/>
              <w:suppressAutoHyphens/>
              <w:spacing w:line="24" w:lineRule="atLeast"/>
              <w:ind w:right="57"/>
              <w:jc w:val="right"/>
              <w:rPr>
                <w:sz w:val="27"/>
                <w:szCs w:val="27"/>
              </w:rPr>
            </w:pPr>
            <w:bookmarkStart w:id="0" w:name="_GoBack"/>
            <w:bookmarkEnd w:id="0"/>
            <w:r w:rsidRPr="00827E89">
              <w:br w:type="page"/>
            </w:r>
            <w:r>
              <w:rPr>
                <w:i/>
                <w:sz w:val="27"/>
                <w:szCs w:val="27"/>
              </w:rPr>
              <w:t xml:space="preserve">Приложение № </w:t>
            </w:r>
            <w:r w:rsidRPr="009E560F">
              <w:rPr>
                <w:i/>
                <w:sz w:val="27"/>
                <w:szCs w:val="27"/>
              </w:rPr>
              <w:t>1</w:t>
            </w:r>
            <w:r w:rsidRPr="009E560F">
              <w:rPr>
                <w:i/>
                <w:sz w:val="27"/>
                <w:szCs w:val="27"/>
              </w:rPr>
              <w:br/>
              <w:t>к Отраслевому соглашению</w:t>
            </w:r>
            <w:r w:rsidRPr="009E560F">
              <w:rPr>
                <w:i/>
                <w:sz w:val="27"/>
                <w:szCs w:val="27"/>
              </w:rPr>
              <w:br/>
              <w:t xml:space="preserve">по организациям текстильной, лёгкой и </w:t>
            </w:r>
            <w:proofErr w:type="spellStart"/>
            <w:proofErr w:type="gramStart"/>
            <w:r w:rsidRPr="009E560F">
              <w:rPr>
                <w:i/>
                <w:sz w:val="27"/>
                <w:szCs w:val="27"/>
              </w:rPr>
              <w:t>фарфоро</w:t>
            </w:r>
            <w:proofErr w:type="spellEnd"/>
            <w:r w:rsidRPr="009E560F">
              <w:rPr>
                <w:i/>
                <w:sz w:val="27"/>
                <w:szCs w:val="27"/>
              </w:rPr>
              <w:t>-фаянсовой</w:t>
            </w:r>
            <w:proofErr w:type="gramEnd"/>
            <w:r w:rsidRPr="009E560F">
              <w:rPr>
                <w:i/>
                <w:sz w:val="27"/>
                <w:szCs w:val="27"/>
              </w:rPr>
              <w:t xml:space="preserve"> промышленности Российской Федерации на 2021-2023 годы </w:t>
            </w:r>
          </w:p>
        </w:tc>
      </w:tr>
    </w:tbl>
    <w:p w:rsidR="00FD1D3E" w:rsidRDefault="00FD1D3E" w:rsidP="00FD1D3E">
      <w:pPr>
        <w:widowControl w:val="0"/>
        <w:spacing w:line="24" w:lineRule="atLeast"/>
        <w:jc w:val="center"/>
        <w:rPr>
          <w:b/>
          <w:sz w:val="28"/>
        </w:rPr>
      </w:pPr>
    </w:p>
    <w:p w:rsidR="00FD1D3E" w:rsidRDefault="00FD1D3E" w:rsidP="00FD1D3E">
      <w:pPr>
        <w:widowControl w:val="0"/>
        <w:spacing w:line="24" w:lineRule="atLeast"/>
        <w:jc w:val="center"/>
        <w:rPr>
          <w:b/>
          <w:sz w:val="28"/>
        </w:rPr>
      </w:pPr>
    </w:p>
    <w:p w:rsidR="00FD1D3E" w:rsidRDefault="00FD1D3E" w:rsidP="00FD1D3E">
      <w:pPr>
        <w:widowControl w:val="0"/>
        <w:spacing w:line="24" w:lineRule="atLeast"/>
        <w:jc w:val="center"/>
        <w:rPr>
          <w:b/>
          <w:sz w:val="28"/>
        </w:rPr>
      </w:pPr>
      <w:r w:rsidRPr="00827E89">
        <w:rPr>
          <w:b/>
          <w:sz w:val="28"/>
        </w:rPr>
        <w:t>Перечисление членских профсоюзных взносов</w:t>
      </w:r>
      <w:r>
        <w:rPr>
          <w:b/>
          <w:sz w:val="28"/>
        </w:rPr>
        <w:t xml:space="preserve"> </w:t>
      </w:r>
    </w:p>
    <w:p w:rsidR="00FD1D3E" w:rsidRDefault="00FD1D3E" w:rsidP="00FD1D3E">
      <w:pPr>
        <w:widowControl w:val="0"/>
        <w:spacing w:line="24" w:lineRule="atLeast"/>
        <w:jc w:val="center"/>
        <w:rPr>
          <w:b/>
          <w:sz w:val="28"/>
        </w:rPr>
      </w:pPr>
      <w:r w:rsidRPr="00827E89">
        <w:rPr>
          <w:b/>
          <w:sz w:val="28"/>
        </w:rPr>
        <w:t xml:space="preserve">и иных денежных </w:t>
      </w:r>
      <w:r w:rsidRPr="00E16CAC">
        <w:rPr>
          <w:b/>
          <w:sz w:val="28"/>
        </w:rPr>
        <w:t>средств</w:t>
      </w:r>
    </w:p>
    <w:p w:rsidR="00FD1D3E" w:rsidRPr="00F37250" w:rsidRDefault="00FD1D3E" w:rsidP="00FD1D3E">
      <w:pPr>
        <w:widowControl w:val="0"/>
        <w:spacing w:line="24" w:lineRule="atLeast"/>
        <w:jc w:val="center"/>
        <w:rPr>
          <w:b/>
          <w:sz w:val="16"/>
          <w:szCs w:val="16"/>
        </w:rPr>
      </w:pP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1. При наличии письменных заявлений работников работодатель обязуется ежемесячно бесплатно перечислять на счета, указанные первичной профсоюзной организацией: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членские профсоюзные взносы из заработной платы работников, являющихся членами профсоюза;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денежные средства из заработной платы работников, не являющихся членами профсоюза.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2. Основанием для перечисления указанных в пункте 1 взносов и денежных средств является индивидуальное письменное заявление работника. Заявление адресуется руководителю (вариант: главному бухгалтеру) организации. Заявления хранятся в организации постоянно и на государственное хранение не передаются.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Копия заявления адресуется председателю первичной профсоюзной организации. Копии заявлений (с отметкой работодателя о приеме) хранятся в первичной профсоюзной организации постоянно и на государственное хранение не передаются.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Заявления, поданные работниками о перечислении членских взносов и перечислении денежных средств, сохраняют свою силу при: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переводе работников из одного структурного подразделения в другое;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смене собственника Организации и единоличного исполнительного органа;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смене наименования Организации;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реорганизации Организации;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смене наименования профсоюза и/или первичной профсоюзной организации;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реорганизации профсоюза и/или первичной профсоюзной организации;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в других случаях.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7250">
        <w:rPr>
          <w:sz w:val="28"/>
          <w:szCs w:val="28"/>
        </w:rPr>
        <w:t>Работодатель перечисляет указанные в пункте 1 взносы и денежные средства в полном объеме одновременно с выплатой заработной платы работникам.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color w:val="000000"/>
          <w:sz w:val="28"/>
          <w:szCs w:val="28"/>
        </w:rPr>
      </w:pPr>
      <w:r w:rsidRPr="00F37250">
        <w:rPr>
          <w:sz w:val="28"/>
          <w:szCs w:val="28"/>
        </w:rPr>
        <w:t>При нарушении работодателем установленного срока перечисления работодатель обязан перечислить взносы и денежные средства с уплатой процентов. Размер процентов составляет одну сто пятидесятую действующей ключевой ставки рефинансирования Центрального банка Российской Федерации от не</w:t>
      </w:r>
      <w:r>
        <w:rPr>
          <w:sz w:val="28"/>
          <w:szCs w:val="28"/>
        </w:rPr>
        <w:t xml:space="preserve"> </w:t>
      </w:r>
      <w:r w:rsidRPr="00F37250">
        <w:rPr>
          <w:sz w:val="28"/>
          <w:szCs w:val="28"/>
        </w:rPr>
        <w:t>перечисленных в срок сумм за каждый день задержки, начиная со следующего дня после установленного срока перечисления по день фактического расчёта включительно.</w:t>
      </w:r>
      <w:r w:rsidRPr="00F37250">
        <w:rPr>
          <w:color w:val="000000"/>
          <w:sz w:val="28"/>
          <w:szCs w:val="28"/>
        </w:rPr>
        <w:t xml:space="preserve"> </w:t>
      </w:r>
    </w:p>
    <w:p w:rsidR="00FD1D3E" w:rsidRDefault="00FD1D3E" w:rsidP="00FD1D3E">
      <w:pPr>
        <w:widowControl w:val="0"/>
        <w:spacing w:line="24" w:lineRule="atLeast"/>
        <w:ind w:firstLine="708"/>
        <w:jc w:val="both"/>
        <w:rPr>
          <w:color w:val="000000"/>
          <w:sz w:val="28"/>
          <w:szCs w:val="28"/>
        </w:rPr>
      </w:pP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color w:val="000000"/>
          <w:sz w:val="28"/>
          <w:szCs w:val="28"/>
        </w:rPr>
      </w:pPr>
      <w:r w:rsidRPr="00F37250">
        <w:rPr>
          <w:color w:val="000000"/>
          <w:sz w:val="28"/>
          <w:szCs w:val="28"/>
        </w:rPr>
        <w:lastRenderedPageBreak/>
        <w:t>Обязанность выплаты указанной денежной компенсации возникает независимо от наличия вины работодателя.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7250">
        <w:rPr>
          <w:sz w:val="28"/>
          <w:szCs w:val="28"/>
        </w:rPr>
        <w:t>Бухгалтерия Организации:</w:t>
      </w:r>
    </w:p>
    <w:p w:rsidR="00FD1D3E" w:rsidRPr="00F37250" w:rsidRDefault="00FD1D3E" w:rsidP="00FD1D3E">
      <w:pPr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ежемесячно и ежегодно проводит сверку расчетов по членским профсоюзным взносам;</w:t>
      </w:r>
    </w:p>
    <w:p w:rsidR="00FD1D3E" w:rsidRPr="00F37250" w:rsidRDefault="00FD1D3E" w:rsidP="00FD1D3E">
      <w:pPr>
        <w:spacing w:line="24" w:lineRule="atLeast"/>
        <w:ind w:firstLine="708"/>
        <w:jc w:val="both"/>
        <w:rPr>
          <w:sz w:val="28"/>
          <w:szCs w:val="28"/>
        </w:rPr>
      </w:pPr>
      <w:r w:rsidRPr="00F37250">
        <w:rPr>
          <w:sz w:val="28"/>
          <w:szCs w:val="28"/>
        </w:rPr>
        <w:t>- в конце года представляет профсоюзному комитету документ, содержащий сведения о сумме членских профсоюзных взносов, удержанных у каждого члена профсоюза.</w:t>
      </w:r>
    </w:p>
    <w:p w:rsidR="00B36DEB" w:rsidRDefault="00FD1D3E"/>
    <w:sectPr w:rsidR="00B36DEB" w:rsidSect="002620A8">
      <w:headerReference w:type="even" r:id="rId4"/>
      <w:headerReference w:type="default" r:id="rId5"/>
      <w:pgSz w:w="11906" w:h="16838"/>
      <w:pgMar w:top="79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DE" w:rsidRDefault="00FD1D3E" w:rsidP="00A015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2DE" w:rsidRDefault="00FD1D3E" w:rsidP="008338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DE" w:rsidRDefault="00FD1D3E" w:rsidP="00A015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812DE" w:rsidRDefault="00FD1D3E" w:rsidP="0083386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E"/>
    <w:rsid w:val="00271945"/>
    <w:rsid w:val="004C4188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80D7-5350-4BD3-8399-F2F6C124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>HP Inc.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Мария Васильевна</dc:creator>
  <cp:keywords/>
  <dc:description/>
  <cp:lastModifiedBy>Ушакова Мария Васильевна</cp:lastModifiedBy>
  <cp:revision>1</cp:revision>
  <dcterms:created xsi:type="dcterms:W3CDTF">2021-02-10T09:57:00Z</dcterms:created>
  <dcterms:modified xsi:type="dcterms:W3CDTF">2021-02-10T09:57:00Z</dcterms:modified>
</cp:coreProperties>
</file>