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C2" w:rsidRDefault="009A58D2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62.5pt;margin-top:-39.1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gJAIAAPk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" filled="f" stroked="f">
            <v:textbox>
              <w:txbxContent>
                <w:p w:rsidR="009A58D2" w:rsidRDefault="009A58D2" w:rsidP="009A58D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539C2">
        <w:tc>
          <w:tcPr>
            <w:tcW w:w="2310" w:type="pct"/>
          </w:tcPr>
          <w:p w:rsidR="003539C2" w:rsidRDefault="00B2293D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19</w:t>
            </w:r>
          </w:p>
        </w:tc>
      </w:tr>
      <w:tr w:rsidR="003539C2">
        <w:tc>
          <w:tcPr>
            <w:tcW w:w="231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реализации мер правового регулирования</w:t>
            </w:r>
          </w:p>
        </w:tc>
      </w:tr>
    </w:tbl>
    <w:p w:rsidR="003539C2" w:rsidRDefault="003539C2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438"/>
        <w:gridCol w:w="3006"/>
        <w:gridCol w:w="3006"/>
        <w:gridCol w:w="3006"/>
        <w:gridCol w:w="707"/>
        <w:gridCol w:w="1002"/>
        <w:gridCol w:w="3009"/>
      </w:tblGrid>
      <w:tr w:rsidR="003539C2">
        <w:trPr>
          <w:tblHeader/>
        </w:trPr>
        <w:tc>
          <w:tcPr>
            <w:tcW w:w="135" w:type="pct"/>
            <w:vMerge w:val="restar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1" w:type="pct"/>
            <w:vMerge w:val="restar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Вид акта</w:t>
            </w:r>
          </w:p>
        </w:tc>
        <w:tc>
          <w:tcPr>
            <w:tcW w:w="1081" w:type="pct"/>
            <w:vMerge w:val="restar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  <w:tc>
          <w:tcPr>
            <w:tcW w:w="1081" w:type="pct"/>
            <w:vMerge w:val="restar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70" w:type="pct"/>
            <w:gridSpan w:val="2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Сроки принятия</w:t>
            </w:r>
          </w:p>
        </w:tc>
        <w:tc>
          <w:tcPr>
            <w:tcW w:w="1082" w:type="pct"/>
            <w:vMerge w:val="restar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  <w:r>
              <w:rPr>
                <w:rFonts w:ascii="Times New Roman" w:hAnsi="Times New Roman" w:cs="Times New Roman"/>
                <w:b/>
              </w:rPr>
              <w:t>(результат реализации; причины отклонений)</w:t>
            </w:r>
          </w:p>
        </w:tc>
      </w:tr>
      <w:tr w:rsidR="003539C2">
        <w:trPr>
          <w:tblHeader/>
        </w:trPr>
        <w:tc>
          <w:tcPr>
            <w:tcW w:w="135" w:type="pct"/>
            <w:vMerge/>
          </w:tcPr>
          <w:p w:rsidR="003539C2" w:rsidRDefault="003539C2"/>
        </w:tc>
        <w:tc>
          <w:tcPr>
            <w:tcW w:w="1081" w:type="pct"/>
            <w:vMerge/>
          </w:tcPr>
          <w:p w:rsidR="003539C2" w:rsidRDefault="003539C2"/>
        </w:tc>
        <w:tc>
          <w:tcPr>
            <w:tcW w:w="1081" w:type="pct"/>
            <w:vMerge/>
          </w:tcPr>
          <w:p w:rsidR="003539C2" w:rsidRDefault="003539C2"/>
        </w:tc>
        <w:tc>
          <w:tcPr>
            <w:tcW w:w="1081" w:type="pct"/>
            <w:vMerge/>
          </w:tcPr>
          <w:p w:rsidR="003539C2" w:rsidRDefault="003539C2"/>
        </w:tc>
        <w:tc>
          <w:tcPr>
            <w:tcW w:w="270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82" w:type="pct"/>
            <w:vMerge/>
          </w:tcPr>
          <w:p w:rsidR="003539C2" w:rsidRDefault="003539C2"/>
        </w:tc>
      </w:tr>
      <w:tr w:rsidR="003539C2">
        <w:trPr>
          <w:tblHeader/>
        </w:trPr>
        <w:tc>
          <w:tcPr>
            <w:tcW w:w="135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1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1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1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2" w:type="pct"/>
          </w:tcPr>
          <w:p w:rsidR="003539C2" w:rsidRDefault="00B2293D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539C2">
        <w:tc>
          <w:tcPr>
            <w:tcW w:w="135" w:type="pct"/>
          </w:tcPr>
          <w:p w:rsidR="003539C2" w:rsidRDefault="003539C2">
            <w:pPr>
              <w:jc w:val="center"/>
            </w:pPr>
          </w:p>
        </w:tc>
        <w:tc>
          <w:tcPr>
            <w:tcW w:w="1081" w:type="pct"/>
            <w:gridSpan w:val="6"/>
          </w:tcPr>
          <w:p w:rsidR="003539C2" w:rsidRDefault="00B2293D">
            <w:r>
              <w:rPr>
                <w:rFonts w:ascii="Times New Roman" w:hAnsi="Times New Roman" w:cs="Times New Roman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3539C2">
        <w:tc>
          <w:tcPr>
            <w:tcW w:w="135" w:type="pct"/>
          </w:tcPr>
          <w:p w:rsidR="003539C2" w:rsidRDefault="003539C2">
            <w:pPr>
              <w:jc w:val="center"/>
            </w:pPr>
          </w:p>
        </w:tc>
        <w:tc>
          <w:tcPr>
            <w:tcW w:w="1081" w:type="pct"/>
            <w:gridSpan w:val="6"/>
          </w:tcPr>
          <w:p w:rsidR="003539C2" w:rsidRDefault="00B2293D"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граждан»</w:t>
            </w:r>
          </w:p>
        </w:tc>
      </w:tr>
      <w:tr w:rsidR="003539C2">
        <w:tc>
          <w:tcPr>
            <w:tcW w:w="135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Федеральные законы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 xml:space="preserve">О бюджете Фонда </w:t>
            </w:r>
            <w:r>
              <w:rPr>
                <w:rFonts w:ascii="Times New Roman" w:hAnsi="Times New Roman" w:cs="Times New Roman"/>
              </w:rPr>
              <w:t>социального страхования Российской Федерации на 2022 год  и на плановый период 2023 и 2024 годов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082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Федеральный закон от 6 декабря 2021 г. № 393-ФЗ "О бюджете Фонда социального стра</w:t>
            </w:r>
            <w:r>
              <w:rPr>
                <w:rFonts w:ascii="Times New Roman" w:hAnsi="Times New Roman" w:cs="Times New Roman"/>
              </w:rPr>
              <w:t>хования Российской Федерации на 2022 год и на плановый период 2023 и 2024 годов"</w:t>
            </w:r>
          </w:p>
        </w:tc>
      </w:tr>
      <w:tr w:rsidR="003539C2">
        <w:tc>
          <w:tcPr>
            <w:tcW w:w="135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Федеральные законы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Совершенствование системы социального обслуживания граждан, в части развития системы долговременного ухода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Министерство труда и социальной защиты Российс</w:t>
            </w:r>
            <w:r>
              <w:rPr>
                <w:rFonts w:ascii="Times New Roman" w:hAnsi="Times New Roman" w:cs="Times New Roman"/>
              </w:rPr>
              <w:t>кой Федерации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0" w:type="pct"/>
          </w:tcPr>
          <w:p w:rsidR="003539C2" w:rsidRDefault="003539C2">
            <w:pPr>
              <w:jc w:val="center"/>
            </w:pPr>
          </w:p>
        </w:tc>
        <w:tc>
          <w:tcPr>
            <w:tcW w:w="1082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 xml:space="preserve">Подготовлен законопроект, предусматривающий внесение изменений в Федеральный закон № 442-ФЗ и иные законодательные акты Российской Федерации. Законопроектом вводятся новые понятия и механизмы, необходимые для унификации подходов к </w:t>
            </w:r>
            <w:r>
              <w:rPr>
                <w:rFonts w:ascii="Times New Roman" w:hAnsi="Times New Roman" w:cs="Times New Roman"/>
              </w:rPr>
              <w:t xml:space="preserve">созданию и внедрению в субъектах Российской Федерации системы долговременного ухода, федеральные органы исполнительной власти наделяются дополнительными полномочиями в сфере </w:t>
            </w:r>
            <w:r>
              <w:rPr>
                <w:rFonts w:ascii="Times New Roman" w:hAnsi="Times New Roman" w:cs="Times New Roman"/>
              </w:rPr>
              <w:lastRenderedPageBreak/>
              <w:t>социального обслуживания, устанавливаются расходные обязательства Российской Федер</w:t>
            </w:r>
            <w:r>
              <w:rPr>
                <w:rFonts w:ascii="Times New Roman" w:hAnsi="Times New Roman" w:cs="Times New Roman"/>
              </w:rPr>
              <w:t>ации по предоставлению гражданам, нуждающимся в уходе, социального пакета</w:t>
            </w:r>
          </w:p>
        </w:tc>
      </w:tr>
      <w:tr w:rsidR="003539C2">
        <w:tc>
          <w:tcPr>
            <w:tcW w:w="135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Федеральные законы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Об исполнении бюджета Фонда социального страхования Российской Федерации за 2020 год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Октябрь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2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Федеральный закон от 25.10.2021 N 363-ФЗ "Об исполнении бюджета Фонда социального страхования Российской Федерации за 2020 год"</w:t>
            </w:r>
          </w:p>
        </w:tc>
      </w:tr>
      <w:tr w:rsidR="003539C2">
        <w:tc>
          <w:tcPr>
            <w:tcW w:w="135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о выплате единовременного денежного поощрения лучшим работникам системы социальног</w:t>
            </w:r>
            <w:r>
              <w:rPr>
                <w:rFonts w:ascii="Times New Roman" w:hAnsi="Times New Roman" w:cs="Times New Roman"/>
              </w:rPr>
              <w:t>о обслуживания по результатам Всероссийского конкурса на звание "Лучший работник учреждения социального обслуживания"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082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Изменен порядок предоставления. Выплата в 2021 году единовре</w:t>
            </w:r>
            <w:r>
              <w:rPr>
                <w:rFonts w:ascii="Times New Roman" w:hAnsi="Times New Roman" w:cs="Times New Roman"/>
              </w:rPr>
              <w:t>менного денежного поощрения призерам Всероссийского конкурса профессионального мастерства в сфере социального обслуживания осуществлялась в соответствии с приказом Минтруда России от 6 декабря 2021 г. № 869</w:t>
            </w:r>
          </w:p>
        </w:tc>
      </w:tr>
      <w:tr w:rsidR="003539C2">
        <w:tc>
          <w:tcPr>
            <w:tcW w:w="135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 xml:space="preserve">утверждении перечня субъектов Российской Федерации, в отношении которых в 2022 году за счет бюджетных ассигнований федерального бюджета будет осуществляться </w:t>
            </w:r>
            <w:r>
              <w:rPr>
                <w:rFonts w:ascii="Times New Roman" w:hAnsi="Times New Roman" w:cs="Times New Roman"/>
              </w:rPr>
              <w:lastRenderedPageBreak/>
              <w:t>софинансирование расходных обязательств субъектов Российской Федерации, возникающих при установлени</w:t>
            </w:r>
            <w:r>
              <w:rPr>
                <w:rFonts w:ascii="Times New Roman" w:hAnsi="Times New Roman" w:cs="Times New Roman"/>
              </w:rPr>
              <w:t>и нуждающимся в поддержке семьям ежемесячной денежной выплаты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1082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Распоряжение Правительства РФ от 11.08.2021 N 2218-р &lt;Об утверждении перечня субъектов Российской Федерации, в отноше</w:t>
            </w:r>
            <w:r>
              <w:rPr>
                <w:rFonts w:ascii="Times New Roman" w:hAnsi="Times New Roman" w:cs="Times New Roman"/>
              </w:rPr>
              <w:t xml:space="preserve">нии которых в 2022 году за счет бюджетных ассигнований </w:t>
            </w:r>
            <w:r>
              <w:rPr>
                <w:rFonts w:ascii="Times New Roman" w:hAnsi="Times New Roman" w:cs="Times New Roman"/>
              </w:rPr>
              <w:lastRenderedPageBreak/>
              <w:t>федерального бюджета будет осуществляться софинансирование расходных обязательств субъектов Российской Федерации, возникающих при установлении нуждающимся в поддержке семьям ежемесячной денежной выплат</w:t>
            </w:r>
            <w:r>
              <w:rPr>
                <w:rFonts w:ascii="Times New Roman" w:hAnsi="Times New Roman" w:cs="Times New Roman"/>
              </w:rPr>
              <w:t>ы, предусмотренной пунктом 2 Указа Президента Российской Федерации от 07.05.2012 N 606&gt;</w:t>
            </w:r>
          </w:p>
        </w:tc>
      </w:tr>
      <w:tr w:rsidR="003539C2">
        <w:tc>
          <w:tcPr>
            <w:tcW w:w="135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Федеральные законы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 xml:space="preserve">О страховых тарифах  на обязательное социальное страхование от несчастных случаев на производстве и профессиональных заболеваний на 2022 год и на </w:t>
            </w:r>
            <w:r>
              <w:rPr>
                <w:rFonts w:ascii="Times New Roman" w:hAnsi="Times New Roman" w:cs="Times New Roman"/>
              </w:rPr>
              <w:t>плановый период 2023 и 2024 годов</w:t>
            </w:r>
          </w:p>
        </w:tc>
        <w:tc>
          <w:tcPr>
            <w:tcW w:w="1081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70" w:type="pct"/>
          </w:tcPr>
          <w:p w:rsidR="003539C2" w:rsidRDefault="00B2293D">
            <w:pPr>
              <w:jc w:val="center"/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1082" w:type="pct"/>
          </w:tcPr>
          <w:p w:rsidR="003539C2" w:rsidRDefault="00B2293D">
            <w:r>
              <w:rPr>
                <w:rFonts w:ascii="Times New Roman" w:hAnsi="Times New Roman" w:cs="Times New Roman"/>
              </w:rPr>
              <w:t>Федеральный закон от 21.12.2021 N 413-ФЗ "О страховых тарифах на обязательное социальное страхование от несчастных случаев на производстве и про</w:t>
            </w:r>
            <w:r>
              <w:rPr>
                <w:rFonts w:ascii="Times New Roman" w:hAnsi="Times New Roman" w:cs="Times New Roman"/>
              </w:rPr>
              <w:t>фессиональных заболеваний на 2022 год и на плановый период 2023 и 2024 годов"</w:t>
            </w:r>
          </w:p>
        </w:tc>
      </w:tr>
      <w:tr w:rsidR="003539C2">
        <w:tc>
          <w:tcPr>
            <w:tcW w:w="135" w:type="pct"/>
          </w:tcPr>
          <w:p w:rsidR="003539C2" w:rsidRDefault="003539C2">
            <w:pPr>
              <w:jc w:val="center"/>
            </w:pPr>
          </w:p>
        </w:tc>
        <w:tc>
          <w:tcPr>
            <w:tcW w:w="1081" w:type="pct"/>
            <w:gridSpan w:val="6"/>
          </w:tcPr>
          <w:p w:rsidR="003539C2" w:rsidRDefault="00B2293D">
            <w:r>
              <w:rPr>
                <w:rFonts w:ascii="Times New Roman" w:hAnsi="Times New Roman" w:cs="Times New Roman"/>
              </w:rPr>
              <w:t>II. Меры государственного регулирования, дополнительно предлагаемые к реализации в рамках государственной программы</w:t>
            </w:r>
          </w:p>
        </w:tc>
      </w:tr>
    </w:tbl>
    <w:p w:rsidR="00B2293D" w:rsidRDefault="00B2293D"/>
    <w:sectPr w:rsidR="00B2293D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3D" w:rsidRDefault="00B2293D">
      <w:r>
        <w:separator/>
      </w:r>
    </w:p>
  </w:endnote>
  <w:endnote w:type="continuationSeparator" w:id="0">
    <w:p w:rsidR="00B2293D" w:rsidRDefault="00B2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3D" w:rsidRDefault="00B2293D">
      <w:r>
        <w:separator/>
      </w:r>
    </w:p>
  </w:footnote>
  <w:footnote w:type="continuationSeparator" w:id="0">
    <w:p w:rsidR="00B2293D" w:rsidRDefault="00B2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29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B2293D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9A58D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B22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2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539C2"/>
    <w:rsid w:val="009A58D2"/>
    <w:rsid w:val="00A906D8"/>
    <w:rsid w:val="00AB5A74"/>
    <w:rsid w:val="00B2293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B89673-CA05-48B7-825A-4FC9C0AF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2</cp:revision>
  <dcterms:created xsi:type="dcterms:W3CDTF">2022-03-01T14:08:00Z</dcterms:created>
  <dcterms:modified xsi:type="dcterms:W3CDTF">2022-03-01T14:09:00Z</dcterms:modified>
</cp:coreProperties>
</file>