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43" w:rsidRDefault="00D84CD5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2.6pt;margin-top:-54.75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606DC8" w:rsidRDefault="00606DC8" w:rsidP="00606D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BB6A43">
        <w:tc>
          <w:tcPr>
            <w:tcW w:w="2310" w:type="pct"/>
          </w:tcPr>
          <w:p w:rsidR="00BB6A43" w:rsidRDefault="00606DC8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BB6A43">
        <w:tc>
          <w:tcPr>
            <w:tcW w:w="231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BB6A43" w:rsidRDefault="00BB6A43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721"/>
        <w:gridCol w:w="3786"/>
        <w:gridCol w:w="1869"/>
        <w:gridCol w:w="1869"/>
        <w:gridCol w:w="1869"/>
        <w:gridCol w:w="1869"/>
        <w:gridCol w:w="2191"/>
      </w:tblGrid>
      <w:tr w:rsidR="00BB6A43">
        <w:trPr>
          <w:tblHeader/>
        </w:trPr>
        <w:tc>
          <w:tcPr>
            <w:tcW w:w="270" w:type="pct"/>
            <w:vMerge w:val="restar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51" w:type="pct"/>
            <w:vMerge w:val="restar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675" w:type="pct"/>
            <w:vMerge w:val="restar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75" w:type="pct"/>
            <w:gridSpan w:val="3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                        целевой программы)</w:t>
            </w:r>
          </w:p>
        </w:tc>
        <w:tc>
          <w:tcPr>
            <w:tcW w:w="679" w:type="pct"/>
            <w:vMerge w:val="restar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B6A43">
        <w:trPr>
          <w:tblHeader/>
        </w:trPr>
        <w:tc>
          <w:tcPr>
            <w:tcW w:w="270" w:type="pct"/>
            <w:vMerge/>
          </w:tcPr>
          <w:p w:rsidR="00BB6A43" w:rsidRDefault="00BB6A43"/>
        </w:tc>
        <w:tc>
          <w:tcPr>
            <w:tcW w:w="1351" w:type="pct"/>
            <w:vMerge/>
          </w:tcPr>
          <w:p w:rsidR="00BB6A43" w:rsidRDefault="00BB6A43"/>
        </w:tc>
        <w:tc>
          <w:tcPr>
            <w:tcW w:w="675" w:type="pct"/>
            <w:vMerge/>
          </w:tcPr>
          <w:p w:rsidR="00BB6A43" w:rsidRDefault="00BB6A43"/>
        </w:tc>
        <w:tc>
          <w:tcPr>
            <w:tcW w:w="675" w:type="pct"/>
            <w:vMerge w:val="restar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75" w:type="pct"/>
            <w:gridSpan w:val="2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79" w:type="pct"/>
            <w:vMerge/>
          </w:tcPr>
          <w:p w:rsidR="00BB6A43" w:rsidRDefault="00BB6A43"/>
        </w:tc>
      </w:tr>
      <w:tr w:rsidR="00BB6A43">
        <w:trPr>
          <w:tblHeader/>
        </w:trPr>
        <w:tc>
          <w:tcPr>
            <w:tcW w:w="270" w:type="pct"/>
            <w:vMerge/>
          </w:tcPr>
          <w:p w:rsidR="00BB6A43" w:rsidRDefault="00BB6A43"/>
        </w:tc>
        <w:tc>
          <w:tcPr>
            <w:tcW w:w="1351" w:type="pct"/>
            <w:vMerge/>
          </w:tcPr>
          <w:p w:rsidR="00BB6A43" w:rsidRDefault="00BB6A43"/>
        </w:tc>
        <w:tc>
          <w:tcPr>
            <w:tcW w:w="675" w:type="pct"/>
            <w:vMerge/>
          </w:tcPr>
          <w:p w:rsidR="00BB6A43" w:rsidRDefault="00BB6A43"/>
        </w:tc>
        <w:tc>
          <w:tcPr>
            <w:tcW w:w="675" w:type="pct"/>
            <w:vMerge/>
          </w:tcPr>
          <w:p w:rsidR="00BB6A43" w:rsidRDefault="00BB6A43"/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79" w:type="pct"/>
            <w:vMerge/>
          </w:tcPr>
          <w:p w:rsidR="00BB6A43" w:rsidRDefault="00BB6A43"/>
        </w:tc>
      </w:tr>
      <w:tr w:rsidR="00BB6A43">
        <w:trPr>
          <w:tblHeader/>
        </w:trPr>
        <w:tc>
          <w:tcPr>
            <w:tcW w:w="270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9" w:type="pct"/>
          </w:tcPr>
          <w:p w:rsidR="00BB6A43" w:rsidRDefault="00606DC8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03. Социальная поддержка граждан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99,23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Уменьшение значения показателя связано с ограничительными мерами в субъектах Российской Федерации, связанными с распространением новой короновирусной инфекции COVID-19.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промилле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Прогнозные значения Росстата.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 объема средств федерального бюджета, направленных на обеспечение социальных выплат и пособий, привязанных к уровню доходов населения, от общего объема средств федерального бюджета, направленных на обеспечение выплат и пособий гражданам старшего поколения, ветеранам, инвалидам и семьям, имеющим детей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мер социальной поддержки отдельных категорий граждан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расходов, заявленных субъектами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 xml:space="preserve">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</w:t>
            </w:r>
            <w:r>
              <w:rPr>
                <w:rFonts w:ascii="Times New Roman" w:hAnsi="Times New Roman" w:cs="Times New Roman"/>
              </w:rPr>
              <w:lastRenderedPageBreak/>
              <w:t>застрахованных лиц пособиями по обязательному социальному страхованию на случай временной нетрудоспособности и в связи с материнством, заявленных субъектами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32,97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1 226 380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1 188 910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1 294 409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 xml:space="preserve">Увеличение численности лиц, которым фактически предоставлена региональная социальная доплата к пенсии в 2021 году </w:t>
            </w:r>
            <w:r>
              <w:rPr>
                <w:rFonts w:ascii="Times New Roman" w:hAnsi="Times New Roman" w:cs="Times New Roman"/>
              </w:rPr>
              <w:lastRenderedPageBreak/>
              <w:t>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 xml:space="preserve">Число граждан, пострадавших в террористическом акте в г. Беслане 1 – 3 сентября 2004 г., которым предоставлена адресная материальная помощь для восстановления здоровья за пределами Российской Федерации за </w:t>
            </w:r>
            <w:r>
              <w:rPr>
                <w:rFonts w:ascii="Times New Roman" w:hAnsi="Times New Roman" w:cs="Times New Roman"/>
              </w:rPr>
              <w:lastRenderedPageBreak/>
              <w:t>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Число граждан, пострадавших в террористическом акте в г. Беслане 1 – 3 сентября 2004 г., которым предоставлена адресная материальная помощь на приобретение путевки на санаторно-курортное лечение на территории Российской Федерации за 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Отклонение значения показателя в сторону увеличения на 13 человек обусловлено тем, что фактически сложившаяся стоимость путёвки (91 383 руб.) на санаторно-курортное лечение ниже плановой стоимости (94 918 руб.).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Высокая востребованность механизма социального контракта.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Высокая эффективность механизма социального контракта.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Высокая эффективность механизма социального контракта.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Модернизация и развитие социального обслуживания населения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значения показателя связано со старением материально-технической базы зданий организаций социального обслуживания, которые в большей части построены в XX веке, в ряде регионов здания стационарных организаций признаны требующими реконструкции 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Фактором, негативно повлиявшим в 2021 году на поддержание достигнутых целевых показателей оплаты труда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организаций, оказывающих услуги в сфере социального обслуживания, в отношении которых проведена независимая оценка качества оказания услуг в отчетном году, в общем количестве организаций социального обслуживания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введенных койко-мест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Ввод в эксплуатацию объектов перенесен на 2022 год.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Прирост технической готовности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50,45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Ввод в эксплуатацию объектов перенесен на 2022 год.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частных инвесторов, реализующих проекты в сфере социального обслуживания, которым выданы кредиты по льготной процентной ставке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Проведен отбор организаций для предоставления субсидий с 29 сентября по 19 ноября 2021 г. Протокол заочного заседания Комиссии по рассмотрению и отбору инвестиционных проектов, рекомендуемых для включения в федеральную адресную инвестиционную программу, и направлению средств федерального бюджета на капитальный ремонт и разработку проектно-сметной документации объектов федеральных казенных учреждений и других объектов, относящихся к ведению Министерства труда и социальной защиты Российской Федерации, а также по проведению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от 10 ноября 2021 г. № 3/20/16пр(з) (далее ‒ Протокол) опубликован на официальном сайте Минтруда России в сети «Интернет». В соответствии с Протоколом по результатам проведенного отбора победители не выявлены.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Обеспечение государственной поддержки семей, имеющих детей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1,489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Суммарный коэффициент рождаемости вторых детей (число детей на одну женщину)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0,353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Коэффициент рождаемости в возрастной группе 35 - 39 лет (число родившихся на 1000 женщин соответствующего возраста)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89,35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значения показателя связано с проведением в субъектах Российской Федерации мероприятий, направленных на развитие семейного устройства детей-сирот и детей, оставшихся без попечения родителей.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69 672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78 190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77 597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Отклонение значения показателя связано с 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Федерации; Длительность конкурсных процедур при приобретении жилых помещений, проводимых в соответствии с положениями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 Нарушение застройщиками (поставщиками) сроков исполнения заключенных государственных (муниципальных) контрактов (договоров); Отсутствие на рынке жилой недвижимости достаточного количества предложений благоустроенных жилых помещений, отвечающих установленным требованиям.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 лет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570 967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503 533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682 672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Фактическое число  семей  с 3 и более детьми, которым в  2021 году предоставлялась ежемесячная денежная выплата в случае рождения третьего ребенка или последующих детей до достижения ребенком возраста 3 лет, превысило плановые показатели в связи с тем, что по итогам отчетного года были учтены все семьи, получающие выплату на детей указанной категории, т.е. не только на детей  впервые обратившихся за назначением выплаты в отчетном году, но и на продолжающих получать выплату до достижения ребенком возраста 3-х лет.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Число семей в субъектах Российской Федерации, входящих в состав Дальневосточного федерального округа, которые получат единовременную выплату при рождении первого ребенка, и число семей в субъектах Российской Федерации, входящих в состав Дальневосточного федерального округа, которые получат региональный материнский (семейный) капитал при рождении второго ребенка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32 231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28 863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39 631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выплаченных пособий (числа случаев)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материнством, подлежащих выплате (при наличии правовых оснований)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3 498 484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5 077 850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числа детей связано с заявительным характером выплаты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доли детей связано с заявительным характером выплаты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 общей численности детского населения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Фактическое значение показателя меньше прогнозируемого в связи с уменьшением общей численности детей-сирот и детей, оставшихся без попечения родителей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Численность семей с детьми, охваченных мерами социальной поддержки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2 460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3 367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Снижение уровня дохода семей из-за  распространения вируса COVID-19 и соответственно увеличение числа семей имеющих права на меры социальной поддержки.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Численность нуждающихся семей, получающих ежемесячные выплаты на детей в возрасте от 3 до 7 лет включительно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2 109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4 045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числа семей связано с заявительным характером выплаты.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семей с детьми, которые персонифицировано проинформированы о возникновении прав на получение мер социальной поддержки, от выразивших согласие на получение проактивного уведомления или обратившихся посредством посещений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Увеличение числа семей, выразивших согласие на получение проактивного уведомления.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семей, получивших государственный сертификат на материнский (семейный) капитал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Развитие информационных систем, проактивное получение.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Повышение эффективности государственной поддержки социально ориентированных некоммерческих организаций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При расчете планового значения Показателя учитывались как отдельные региональные программы поддержки СОНКО или отраслевые региональные программы поддержки СОНКО, которые содержат отдельную подпрограмму поддержки СОНКО, так и отраслевые региональные программы, содержащие отдельные мероприятия по поддержке СОНКО, последние из которых вносят высокий вклад в достижение планового значения Показателя. В свою очередь, в расчет фактического значения Показателя не включались отраслевые региональные программы, содержащие отдельные мероприятия по поддержке СОНКО, а учитывались либо отдельные региональные программы поддержки СОНКО, либо отраслевые региональные программы поддержки СОНКО, которые содержат отдельную подпрограмму поддержки СОНКО.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социально значимых мероприятий, реализуемых отдельными общественными и иными некоммерческими организациями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1 108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Согласно отчетам об использовании субсидии. Увеличение в 2021 году фактического значения показателя «Количество проведенных социально значимых мероприятий» обусловлено тем, что в связи с введением ограничительных мер, связанных с распространением коронавирусной инфекцией, ряд социально значимых мероприятий, проводимых общественными и иными некоммерческими организациями (далее – организации), был переведен в дистанционный формат. В связи с тем, что на проведение данных мероприятий в дистанционном формате требуется меньше затрат, чем на проведение этих мероприятий в очной форме, организациями осуществлено проведение социально значимых мероприятий в большем количестве, в связи с чем, произошло перевыполнение показателя.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Старшее поколение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Прирост технической готовности объекта за текущий финансовый год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завершенных строительством объектов организаций социального обслуживания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введенных койко-мест в стационарных организациях социального обслуживания, обеспечивающих комфортное проживание граждан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1 075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1 328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1 328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Общая площадь объекта, подлежащая вводу в эксплуатацию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38 800,4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62 597,5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65 599,7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Количество пилотных регионов, в которых внедряется система долговременного ухода за гражданами пожилого возраста и инвалидами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30,02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pct"/>
          </w:tcPr>
          <w:p w:rsidR="00BB6A43" w:rsidRDefault="00BB6A43"/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75" w:type="pct"/>
          </w:tcPr>
          <w:p w:rsidR="00BB6A43" w:rsidRDefault="00846FF7">
            <w:pPr>
              <w:jc w:val="center"/>
            </w:pPr>
            <w:r>
              <w:rPr>
                <w:rFonts w:ascii="Times New Roman" w:hAnsi="Times New Roman" w:cs="Times New Roman"/>
              </w:rPr>
              <w:t>21,07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75" w:type="pct"/>
          </w:tcPr>
          <w:p w:rsidR="00BB6A43" w:rsidRDefault="00D84CD5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  <w:bookmarkStart w:id="0" w:name="_GoBack"/>
            <w:bookmarkEnd w:id="0"/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В соответствии с изменениями, которые внесены в федеральный проект "Старшее поколение" национального проекта "Демография" плановое значение на 2021 г. - 9,8. Таким образом, значение показателя достигнуто.</w:t>
            </w:r>
          </w:p>
        </w:tc>
      </w:tr>
      <w:tr w:rsidR="00BB6A43">
        <w:tc>
          <w:tcPr>
            <w:tcW w:w="270" w:type="pct"/>
            <w:gridSpan w:val="7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7. Обеспечение условий реализации государственной программы Российской Федерации "Социальная поддержка граждан"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Удельный вес внутренних затрат на научные исследования и разработки, осуществляемые в рамках реализации государственной программы Российской Федерации "Социальная поддержка граждан" по государственным контрактам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0,0001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0,0001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0,0001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Показатель достигнут.</w:t>
            </w:r>
          </w:p>
        </w:tc>
      </w:tr>
      <w:tr w:rsidR="00BB6A43">
        <w:tc>
          <w:tcPr>
            <w:tcW w:w="270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 оплаты правительственной части ежегодного членского взноса Российской Федерации в Международную ассоциацию социального обеспечения (МАСО)</w:t>
            </w:r>
          </w:p>
        </w:tc>
        <w:tc>
          <w:tcPr>
            <w:tcW w:w="675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BB6A43" w:rsidRDefault="00606DC8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</w:tcPr>
          <w:p w:rsidR="00BB6A43" w:rsidRDefault="00606DC8">
            <w:r>
              <w:rPr>
                <w:rFonts w:ascii="Times New Roman" w:hAnsi="Times New Roman" w:cs="Times New Roman"/>
              </w:rPr>
              <w:t>Показатель достигнут.</w:t>
            </w:r>
          </w:p>
        </w:tc>
      </w:tr>
    </w:tbl>
    <w:p w:rsidR="00653016" w:rsidRDefault="00653016"/>
    <w:sectPr w:rsidR="00653016" w:rsidSect="00FC3028">
      <w:headerReference w:type="default" r:id="rId6"/>
      <w:headerReference w:type="first" r:id="rId7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16" w:rsidRDefault="00606DC8">
      <w:r>
        <w:separator/>
      </w:r>
    </w:p>
  </w:endnote>
  <w:endnote w:type="continuationSeparator" w:id="0">
    <w:p w:rsidR="00653016" w:rsidRDefault="0060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16" w:rsidRDefault="00606DC8">
      <w:r>
        <w:separator/>
      </w:r>
    </w:p>
  </w:footnote>
  <w:footnote w:type="continuationSeparator" w:id="0">
    <w:p w:rsidR="00653016" w:rsidRDefault="0060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606DC8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84CD5">
          <w:rPr>
            <w:rFonts w:ascii="Times New Roman" w:hAnsi="Times New Roman" w:cs="Times New Roman"/>
            <w:noProof/>
          </w:rPr>
          <w:t>23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D84C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466865"/>
      <w:docPartObj>
        <w:docPartGallery w:val="Page Numbers (Top of Page)"/>
        <w:docPartUnique/>
      </w:docPartObj>
    </w:sdtPr>
    <w:sdtEndPr/>
    <w:sdtContent>
      <w:p w:rsidR="00606DC8" w:rsidRDefault="00606D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D5">
          <w:rPr>
            <w:noProof/>
          </w:rPr>
          <w:t>1</w:t>
        </w:r>
        <w:r>
          <w:fldChar w:fldCharType="end"/>
        </w:r>
      </w:p>
    </w:sdtContent>
  </w:sdt>
  <w:p w:rsidR="009D472B" w:rsidRDefault="00D84C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06DC8"/>
    <w:rsid w:val="00653016"/>
    <w:rsid w:val="00846FF7"/>
    <w:rsid w:val="00A906D8"/>
    <w:rsid w:val="00AB5A74"/>
    <w:rsid w:val="00BB6A43"/>
    <w:rsid w:val="00D84CD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9317FB-A5C9-4522-995C-487EBFA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06D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06DC8"/>
  </w:style>
  <w:style w:type="paragraph" w:styleId="a6">
    <w:name w:val="header"/>
    <w:basedOn w:val="a"/>
    <w:link w:val="a7"/>
    <w:uiPriority w:val="99"/>
    <w:unhideWhenUsed/>
    <w:rsid w:val="00606DC8"/>
    <w:pPr>
      <w:tabs>
        <w:tab w:val="center" w:pos="4680"/>
        <w:tab w:val="right" w:pos="9360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6DC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2846</Words>
  <Characters>16227</Characters>
  <Application>Microsoft Office Word</Application>
  <DocSecurity>0</DocSecurity>
  <Lines>135</Lines>
  <Paragraphs>38</Paragraphs>
  <ScaleCrop>false</ScaleCrop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4</cp:revision>
  <dcterms:created xsi:type="dcterms:W3CDTF">2022-05-04T16:26:00Z</dcterms:created>
  <dcterms:modified xsi:type="dcterms:W3CDTF">2022-05-05T12:21:00Z</dcterms:modified>
</cp:coreProperties>
</file>