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B29" w:rsidRDefault="003F1B29">
      <w:pPr>
        <w:pStyle w:val="ConsPlusTitle"/>
        <w:jc w:val="center"/>
      </w:pPr>
      <w:bookmarkStart w:id="0" w:name="_GoBack"/>
      <w:bookmarkEnd w:id="0"/>
      <w:r>
        <w:t>ПРАВИТЕЛЬСТВО РОССИЙСКОЙ ФЕДЕРАЦИИ</w:t>
      </w:r>
    </w:p>
    <w:p w:rsidR="003F1B29" w:rsidRPr="00FB252F" w:rsidRDefault="003F1B29">
      <w:pPr>
        <w:pStyle w:val="ConsPlusTitle"/>
        <w:jc w:val="center"/>
        <w:rPr>
          <w:sz w:val="16"/>
          <w:szCs w:val="16"/>
        </w:rPr>
      </w:pPr>
    </w:p>
    <w:p w:rsidR="003F1B29" w:rsidRDefault="003F1B29">
      <w:pPr>
        <w:pStyle w:val="ConsPlusTitle"/>
        <w:jc w:val="center"/>
      </w:pPr>
      <w:r>
        <w:t>ПОСТАНОВЛЕНИЕ</w:t>
      </w:r>
    </w:p>
    <w:p w:rsidR="003F1B29" w:rsidRDefault="003F1B29">
      <w:pPr>
        <w:pStyle w:val="ConsPlusTitle"/>
        <w:jc w:val="center"/>
      </w:pPr>
      <w:r>
        <w:t>от 7 декабря 2011 г. N 1011</w:t>
      </w:r>
    </w:p>
    <w:p w:rsidR="003F1B29" w:rsidRDefault="003F1B29">
      <w:pPr>
        <w:pStyle w:val="ConsPlusTitle"/>
        <w:jc w:val="center"/>
      </w:pPr>
      <w:r>
        <w:t>О ВСЕРОССИЙСКОМ КОНКУРСЕ ПРОФЕССИОНАЛЬНОГО МАСТЕРСТВА</w:t>
      </w:r>
    </w:p>
    <w:p w:rsidR="003F1B29" w:rsidRDefault="003F1B29">
      <w:pPr>
        <w:pStyle w:val="ConsPlusTitle"/>
        <w:jc w:val="center"/>
      </w:pPr>
      <w:r>
        <w:t>"ЛУЧШИЙ ПО ПРОФЕССИИ"</w:t>
      </w:r>
    </w:p>
    <w:p w:rsidR="003F1B29" w:rsidRPr="00FB252F" w:rsidRDefault="003F1B29">
      <w:pPr>
        <w:pStyle w:val="ConsPlusNormal"/>
        <w:jc w:val="center"/>
        <w:rPr>
          <w:sz w:val="16"/>
          <w:szCs w:val="16"/>
        </w:rPr>
      </w:pP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>
        <w:t xml:space="preserve">В целях повышения престижа рабочих профессий, совершенствования профессиональных знаний и методов работы, а также содействия росту квалификации кадров Правительство </w:t>
      </w:r>
      <w:r w:rsidRPr="00FB252F">
        <w:t>Российской Федерации постановляет: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1. Установить, что Всероссийский конкурс профессионального мастерства "Лучший по профессии" (далее - конкурс) проводится ежегодно начиная с 2012 года.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Конкурс проводится с учетом результатов конкурсов, проводимых на уровне субъектов Российской Федерации, по 5 номинациям.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Призерам конкурса в каждой номинации выплачивается денежное поощрение в следующих размерах: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300 тыс. рублей - призерам конкурса, занявшим первые места;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200 тыс. рублей - призерам конкурса, занявшим вторые места;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100 тыс. рублей - призерам конкурса, занявшим третьи места.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Порядок выплаты денежного поощрения призерам конкурса утверждается Министерством труда и социальной защиты Российской Федерации.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2. Для проведения конкурса образуется организационный комитет.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В состав организационного комитета включаются представители Министерства труда и социальной защиты Российской Федерации, Министерства просвещения Российской Федерации, Министерства экономического развития Российской Федерации, Министерства промышленности и торговли Российской Федерации, Министерства цифрового развития, связи и массовых коммуникаций Российской Федерации, других заинтересованных федеральных органов исполнительной власти, общероссийских объединений профсоюзов и общероссийских объединений работодателей.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3. Организационный комитет по проведению конкурса: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разрабатывает перечень номинаций конкурса, исходя из приоритетных задач профессиональной ориентации молодежи, популяризации рабочих профессий, повышения профессионального мастерства;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разрабатывает условия и порядок проведения конкурса, включая критерии отбора номинантов для участия в конкурсе и определения победителей конкурса, а также рекомендации по организации конкурса;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рассматривает представленные документы и материалы о результатах конкурсов, проведенных в субъектах Российской Федерации;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определяет состав номинантов для участия в конкурсе на федеральном уровне;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определяет призеров конкурса по соответствующим номинациям и подводит итоги конкурса;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осуществляет иные мероприятия, связанные с организацией и проведением конкурса.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4. Министерству труда и социальной защиты Российской Федерации: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утверждать персональный состав организационного комитета по проведению конкурса;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утверждать разработанные организационным комитетом по проведению конкурса перечень номинаций конкурса, условия и порядок проведения конкурса;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утверждать итоги проведения конкурса;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осуществлять организационно-техническое обеспечение деятельности организационного комитета по проведению конкурса.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5. Министерству цифрового развития, связи и массовых коммуникаций Российской Федерации осуществлять содействие в освещении в государственных средствах массовой информации условий, порядка и результатов проведения конкурса, достижений и передового опыта его участников.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lastRenderedPageBreak/>
        <w:t>6. Рекомендовать органам исполнительной власти субъектов Российской Федерации ежегодно проводить конкурс на региональном уровне с участием объединений профсоюзов и объединений работодателей, оказывать содействие в организации мероприятий по проведению конкурса на федеральном уровне.</w:t>
      </w:r>
    </w:p>
    <w:p w:rsidR="003F1B29" w:rsidRPr="00FB252F" w:rsidRDefault="003F1B29" w:rsidP="00FB252F">
      <w:pPr>
        <w:pStyle w:val="ConsPlusNormal"/>
        <w:spacing w:line="216" w:lineRule="auto"/>
        <w:ind w:firstLine="539"/>
        <w:jc w:val="both"/>
      </w:pPr>
      <w:r w:rsidRPr="00FB252F">
        <w:t>7. Финансовое обеспечение расходов, связанных с выплатой предусмотренного настоящим Постановлением денежного поощрения, осуществляется в пределах бюджетных ассигнований федерального бюджета, предусмотренных на обеспечение указанных расходов Министерству труда и социальной защиты Российской Федерации на соответствующий финансовый год.</w:t>
      </w:r>
    </w:p>
    <w:p w:rsidR="003F1B29" w:rsidRPr="00FB252F" w:rsidRDefault="003F1B29">
      <w:pPr>
        <w:pStyle w:val="ConsPlusNormal"/>
        <w:jc w:val="right"/>
        <w:rPr>
          <w:sz w:val="16"/>
          <w:szCs w:val="16"/>
        </w:rPr>
      </w:pPr>
    </w:p>
    <w:p w:rsidR="003F1B29" w:rsidRPr="00FB252F" w:rsidRDefault="003F1B29">
      <w:pPr>
        <w:pStyle w:val="ConsPlusNormal"/>
        <w:jc w:val="right"/>
      </w:pPr>
      <w:r w:rsidRPr="00FB252F">
        <w:t>Председатель Правительства</w:t>
      </w:r>
    </w:p>
    <w:p w:rsidR="003F1B29" w:rsidRDefault="003F1B29">
      <w:pPr>
        <w:pStyle w:val="ConsPlusNormal"/>
        <w:jc w:val="right"/>
      </w:pPr>
      <w:r w:rsidRPr="00FB252F">
        <w:t>Российской Федерации</w:t>
      </w:r>
    </w:p>
    <w:p w:rsidR="003F1B29" w:rsidRDefault="003F1B29">
      <w:pPr>
        <w:pStyle w:val="ConsPlusNormal"/>
        <w:jc w:val="right"/>
      </w:pPr>
      <w:r>
        <w:t>В.ПУТИН</w:t>
      </w:r>
    </w:p>
    <w:sectPr w:rsidR="003F1B29" w:rsidSect="00FB252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29"/>
    <w:rsid w:val="001546D5"/>
    <w:rsid w:val="003F1B29"/>
    <w:rsid w:val="00695219"/>
    <w:rsid w:val="00927957"/>
    <w:rsid w:val="00A24646"/>
    <w:rsid w:val="00AD1A35"/>
    <w:rsid w:val="00C527D6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EFA19-64C8-497E-8A37-A1CF4F1E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B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1B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1B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7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7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GorkovaEV</dc:creator>
  <cp:lastModifiedBy>Панца Екатерина Александровна</cp:lastModifiedBy>
  <cp:revision>2</cp:revision>
  <cp:lastPrinted>2022-06-23T07:25:00Z</cp:lastPrinted>
  <dcterms:created xsi:type="dcterms:W3CDTF">2023-11-21T16:01:00Z</dcterms:created>
  <dcterms:modified xsi:type="dcterms:W3CDTF">2023-11-21T16:01:00Z</dcterms:modified>
</cp:coreProperties>
</file>