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3" w:rsidRPr="004B6914" w:rsidRDefault="00CE57F5" w:rsidP="00C31B1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C31B13" w:rsidRPr="004B6914">
        <w:rPr>
          <w:b/>
          <w:sz w:val="28"/>
          <w:szCs w:val="28"/>
        </w:rPr>
        <w:t xml:space="preserve"> Министерства труда и социальной защиты </w:t>
      </w:r>
    </w:p>
    <w:p w:rsidR="00C31B13" w:rsidRPr="004B6914" w:rsidRDefault="00C31B13" w:rsidP="00C31B13">
      <w:pPr>
        <w:pStyle w:val="a4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Российской Федерации о реализации отраслевых</w:t>
      </w:r>
    </w:p>
    <w:p w:rsidR="006B7386" w:rsidRPr="004B6914" w:rsidRDefault="00C31B13" w:rsidP="00C31B13">
      <w:pPr>
        <w:pStyle w:val="a4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документов стратегического планирования</w:t>
      </w:r>
      <w:r w:rsidR="004B6914" w:rsidRPr="004B6914">
        <w:rPr>
          <w:b/>
          <w:sz w:val="28"/>
          <w:szCs w:val="28"/>
        </w:rPr>
        <w:t xml:space="preserve"> </w:t>
      </w:r>
    </w:p>
    <w:p w:rsidR="006B7386" w:rsidRDefault="006B7386" w:rsidP="006B7386">
      <w:pPr>
        <w:pStyle w:val="a4"/>
        <w:ind w:left="0"/>
        <w:jc w:val="center"/>
        <w:rPr>
          <w:sz w:val="28"/>
          <w:szCs w:val="28"/>
        </w:rPr>
      </w:pPr>
    </w:p>
    <w:p w:rsidR="00E71E08" w:rsidRDefault="00196D91" w:rsidP="00D009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8" w:history="1">
        <w:r w:rsidR="00D0091D" w:rsidRPr="00D0091D">
          <w:rPr>
            <w:b/>
            <w:sz w:val="28"/>
            <w:szCs w:val="28"/>
          </w:rPr>
          <w:t>Стратеги</w:t>
        </w:r>
      </w:hyperlink>
      <w:r w:rsidR="00D0091D" w:rsidRPr="00D0091D">
        <w:rPr>
          <w:b/>
          <w:sz w:val="28"/>
          <w:szCs w:val="28"/>
        </w:rPr>
        <w:t xml:space="preserve">я долгосрочного развития пенсионной </w:t>
      </w:r>
    </w:p>
    <w:p w:rsidR="00D0091D" w:rsidRPr="00D0091D" w:rsidRDefault="00D0091D" w:rsidP="00D0091D">
      <w:pPr>
        <w:autoSpaceDE w:val="0"/>
        <w:autoSpaceDN w:val="0"/>
        <w:adjustRightInd w:val="0"/>
        <w:ind w:firstLine="540"/>
        <w:jc w:val="center"/>
        <w:rPr>
          <w:b/>
          <w:color w:val="FFFFFF" w:themeColor="background1"/>
          <w:sz w:val="28"/>
          <w:szCs w:val="28"/>
          <w:u w:val="single"/>
        </w:rPr>
      </w:pPr>
      <w:r w:rsidRPr="00D0091D">
        <w:rPr>
          <w:b/>
          <w:sz w:val="28"/>
          <w:szCs w:val="28"/>
        </w:rPr>
        <w:t>системы Российской Федерации</w:t>
      </w:r>
      <w:r>
        <w:rPr>
          <w:b/>
          <w:sz w:val="28"/>
          <w:szCs w:val="28"/>
        </w:rPr>
        <w:t>.</w:t>
      </w:r>
    </w:p>
    <w:p w:rsidR="00D0091D" w:rsidRPr="00D0091D" w:rsidRDefault="00D0091D" w:rsidP="00D0091D">
      <w:pPr>
        <w:pStyle w:val="a4"/>
        <w:ind w:left="0"/>
        <w:jc w:val="both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1. 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540"/>
      </w:tblGrid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1.1</w:t>
            </w:r>
          </w:p>
        </w:tc>
        <w:tc>
          <w:tcPr>
            <w:tcW w:w="8822" w:type="dxa"/>
            <w:vAlign w:val="center"/>
          </w:tcPr>
          <w:p w:rsidR="0027764D" w:rsidRDefault="00DB3614" w:rsidP="0027764D">
            <w:pPr>
              <w:jc w:val="center"/>
            </w:pPr>
            <w:r w:rsidRPr="00E46D9B">
              <w:rPr>
                <w:color w:val="FFFFFF" w:themeColor="background1"/>
              </w:rPr>
              <w:t>1</w:t>
            </w:r>
            <w:r>
              <w:t xml:space="preserve"> </w:t>
            </w:r>
            <w:r w:rsidR="0027764D" w:rsidRPr="00E46D9B">
              <w:t>Наименование отраслевого документа стратегического планирования:</w:t>
            </w:r>
          </w:p>
          <w:p w:rsidR="00230395" w:rsidRPr="00E46D9B" w:rsidRDefault="00230395" w:rsidP="0027764D">
            <w:pPr>
              <w:jc w:val="center"/>
            </w:pPr>
          </w:p>
          <w:p w:rsidR="00230395" w:rsidRDefault="0027764D" w:rsidP="00230395">
            <w:pPr>
              <w:autoSpaceDE w:val="0"/>
              <w:autoSpaceDN w:val="0"/>
              <w:adjustRightInd w:val="0"/>
              <w:ind w:firstLine="37"/>
              <w:jc w:val="center"/>
              <w:rPr>
                <w:u w:val="single"/>
              </w:rPr>
            </w:pPr>
            <w:r w:rsidRPr="00230395">
              <w:rPr>
                <w:color w:val="FFFFFF" w:themeColor="background1"/>
                <w:u w:val="single"/>
              </w:rPr>
              <w:t>1</w:t>
            </w:r>
            <w:hyperlink r:id="rId9" w:history="1">
              <w:r w:rsidRPr="00230395">
                <w:rPr>
                  <w:u w:val="single"/>
                </w:rPr>
                <w:t>Стратеги</w:t>
              </w:r>
            </w:hyperlink>
            <w:r w:rsidRPr="00230395">
              <w:rPr>
                <w:u w:val="single"/>
              </w:rPr>
              <w:t>я долгосрочного развития пенсионной</w:t>
            </w:r>
          </w:p>
          <w:p w:rsidR="0027764D" w:rsidRPr="00230395" w:rsidRDefault="0027764D" w:rsidP="00230395">
            <w:pPr>
              <w:autoSpaceDE w:val="0"/>
              <w:autoSpaceDN w:val="0"/>
              <w:adjustRightInd w:val="0"/>
              <w:ind w:firstLine="37"/>
              <w:jc w:val="center"/>
              <w:rPr>
                <w:color w:val="FFFFFF" w:themeColor="background1"/>
                <w:u w:val="single"/>
              </w:rPr>
            </w:pPr>
            <w:r w:rsidRPr="00230395">
              <w:rPr>
                <w:u w:val="single"/>
              </w:rPr>
              <w:t>системы Российской Федерации</w:t>
            </w:r>
            <w:r w:rsidRPr="00230395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27764D" w:rsidP="0023039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46D9B">
              <w:t>(указывается наименование)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1.2</w:t>
            </w:r>
          </w:p>
        </w:tc>
        <w:tc>
          <w:tcPr>
            <w:tcW w:w="8822" w:type="dxa"/>
            <w:vAlign w:val="center"/>
          </w:tcPr>
          <w:p w:rsidR="00EB4CB9" w:rsidRDefault="00EB4CB9" w:rsidP="00EB4CB9">
            <w:pPr>
              <w:jc w:val="center"/>
            </w:pPr>
            <w:r w:rsidRPr="00E46D9B">
              <w:t>Реквизиты акта, которым утвержден отраслевой документ стратегического планирования:</w:t>
            </w:r>
          </w:p>
          <w:p w:rsidR="00704FF7" w:rsidRDefault="00704FF7" w:rsidP="00EB4CB9">
            <w:pPr>
              <w:jc w:val="center"/>
            </w:pPr>
          </w:p>
          <w:p w:rsidR="00EB4CB9" w:rsidRPr="00EB4CB9" w:rsidRDefault="00704FF7" w:rsidP="00EB4CB9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EB4CB9" w:rsidRPr="00EB4CB9">
              <w:rPr>
                <w:u w:val="single"/>
              </w:rPr>
              <w:t>аспоряжение Правительства Российской Федерации</w:t>
            </w:r>
          </w:p>
          <w:p w:rsidR="00EB4CB9" w:rsidRPr="00EB4CB9" w:rsidRDefault="00EB4CB9" w:rsidP="00EB4CB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4CB9">
              <w:rPr>
                <w:u w:val="single"/>
              </w:rPr>
              <w:t xml:space="preserve">от 25 декабря 2012 г. </w:t>
            </w:r>
            <w:r w:rsidR="000005B4">
              <w:rPr>
                <w:u w:val="single"/>
              </w:rPr>
              <w:t>№</w:t>
            </w:r>
            <w:r w:rsidRPr="00EB4CB9">
              <w:rPr>
                <w:u w:val="single"/>
              </w:rPr>
              <w:t xml:space="preserve"> 2524-р</w:t>
            </w:r>
          </w:p>
          <w:p w:rsidR="00DB3614" w:rsidRPr="00E46D9B" w:rsidRDefault="00EB4CB9" w:rsidP="00EB4C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46D9B">
              <w:t>(указываются полное название, номер и дата акта)</w:t>
            </w:r>
            <w:r w:rsidRPr="00E46D9B">
              <w:rPr>
                <w:color w:val="FFFFFF" w:themeColor="background1"/>
              </w:rPr>
              <w:t xml:space="preserve"> </w:t>
            </w:r>
            <w:r w:rsidR="00DB3614" w:rsidRPr="00E46D9B">
              <w:rPr>
                <w:color w:val="FFFFFF" w:themeColor="background1"/>
              </w:rPr>
              <w:t>1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1.3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>Федеральный орган исполнительной власти (далее – разработчик):</w:t>
            </w:r>
          </w:p>
          <w:p w:rsidR="00304A27" w:rsidRPr="00304A27" w:rsidRDefault="00DB3614" w:rsidP="00DB3614">
            <w:pPr>
              <w:jc w:val="center"/>
              <w:rPr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Минсиетсов труда и социальной защиты Российской Федерации </w:t>
            </w:r>
            <w:r w:rsidRPr="00E46D9B">
              <w:rPr>
                <w:u w:val="single"/>
              </w:rPr>
              <w:t xml:space="preserve">                                                                                  </w:t>
            </w:r>
            <w:r>
              <w:rPr>
                <w:u w:val="single"/>
              </w:rPr>
              <w:t xml:space="preserve">                               </w:t>
            </w:r>
            <w:r w:rsidRPr="00304A27">
              <w:rPr>
                <w:u w:val="single"/>
              </w:rPr>
              <w:t xml:space="preserve">Министерство труда и социальной защиты Российской Федерации </w:t>
            </w:r>
          </w:p>
          <w:p w:rsidR="00DB3614" w:rsidRPr="00E46D9B" w:rsidRDefault="00DB3614" w:rsidP="00DB3614">
            <w:pPr>
              <w:jc w:val="center"/>
            </w:pPr>
            <w:r w:rsidRPr="00304A27">
              <w:rPr>
                <w:u w:val="single"/>
              </w:rPr>
              <w:t>(Минтруд России)</w:t>
            </w:r>
            <w:r w:rsidRPr="00304A27">
              <w:rPr>
                <w:color w:val="FFFFFF" w:themeColor="background1"/>
                <w:u w:val="single"/>
              </w:rPr>
              <w:t>1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1.4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>Федеральные органы исполнительной власти – соисполнители: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(указываются полное и краткое наименования)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1.5</w:t>
            </w:r>
          </w:p>
        </w:tc>
        <w:tc>
          <w:tcPr>
            <w:tcW w:w="8822" w:type="dxa"/>
            <w:vAlign w:val="center"/>
          </w:tcPr>
          <w:p w:rsidR="00DB3614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>
              <w:t>Отчетный г</w:t>
            </w:r>
            <w:r w:rsidRPr="00E46D9B">
              <w:t>од, за который представляется доклад о реализации отраслевого документа стратегического планирования:</w:t>
            </w:r>
            <w:r>
              <w:t xml:space="preserve"> </w:t>
            </w:r>
            <w:r w:rsidRPr="00E46D9B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20162201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704FF7" w:rsidRDefault="00DB3614" w:rsidP="00E63008">
            <w:pPr>
              <w:jc w:val="center"/>
              <w:rPr>
                <w:u w:val="single"/>
              </w:rPr>
            </w:pPr>
            <w:r w:rsidRPr="00704FF7">
              <w:rPr>
                <w:u w:val="single"/>
              </w:rPr>
              <w:t>201</w:t>
            </w:r>
            <w:r w:rsidR="00E63008">
              <w:rPr>
                <w:u w:val="single"/>
              </w:rPr>
              <w:t>9</w:t>
            </w:r>
            <w:r w:rsidRPr="00704FF7">
              <w:rPr>
                <w:u w:val="single"/>
              </w:rPr>
              <w:t xml:space="preserve"> г.</w:t>
            </w:r>
          </w:p>
        </w:tc>
      </w:tr>
    </w:tbl>
    <w:p w:rsidR="00DB3614" w:rsidRDefault="00DB3614" w:rsidP="00DB3614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2. Аналитическая справка о реализации отраслевого докумен</w:t>
      </w:r>
      <w:r>
        <w:rPr>
          <w:sz w:val="28"/>
          <w:szCs w:val="28"/>
        </w:rPr>
        <w:t>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F3522B" w:rsidRPr="00E46D9B" w:rsidTr="00F3522B">
        <w:tc>
          <w:tcPr>
            <w:tcW w:w="851" w:type="dxa"/>
            <w:vAlign w:val="center"/>
          </w:tcPr>
          <w:p w:rsidR="00F3522B" w:rsidRPr="00E46D9B" w:rsidRDefault="00F3522B" w:rsidP="00F3522B">
            <w:pPr>
              <w:jc w:val="both"/>
            </w:pPr>
            <w:r w:rsidRPr="00E46D9B">
              <w:t>№ п/п</w:t>
            </w:r>
          </w:p>
        </w:tc>
        <w:tc>
          <w:tcPr>
            <w:tcW w:w="8788" w:type="dxa"/>
            <w:vAlign w:val="center"/>
          </w:tcPr>
          <w:p w:rsidR="00F3522B" w:rsidRPr="00E46D9B" w:rsidRDefault="00F3522B" w:rsidP="00F3522B">
            <w:pPr>
              <w:jc w:val="center"/>
            </w:pPr>
            <w:r>
              <w:t>Содержание раздела</w:t>
            </w:r>
          </w:p>
        </w:tc>
      </w:tr>
      <w:tr w:rsidR="00F3522B" w:rsidRPr="00E46D9B" w:rsidTr="00F3522B">
        <w:tc>
          <w:tcPr>
            <w:tcW w:w="851" w:type="dxa"/>
          </w:tcPr>
          <w:p w:rsidR="00F3522B" w:rsidRPr="00E46D9B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2.1</w:t>
            </w:r>
          </w:p>
        </w:tc>
        <w:tc>
          <w:tcPr>
            <w:tcW w:w="8788" w:type="dxa"/>
            <w:vAlign w:val="center"/>
          </w:tcPr>
          <w:p w:rsidR="00F3522B" w:rsidRPr="00E46D9B" w:rsidRDefault="00F3522B" w:rsidP="00F3522B">
            <w:pPr>
              <w:jc w:val="center"/>
            </w:pPr>
            <w:r>
              <w:t xml:space="preserve">Описание динамики показателей отраслевого документа стратегического планирования, отраженных в пункте 5 настоящей формы: </w:t>
            </w:r>
          </w:p>
          <w:p w:rsidR="00F3522B" w:rsidRPr="00F635B8" w:rsidRDefault="000005B4" w:rsidP="00DA1769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u w:val="single"/>
              </w:rPr>
            </w:pPr>
            <w:r>
              <w:rPr>
                <w:u w:val="single"/>
              </w:rPr>
              <w:t>П</w:t>
            </w:r>
            <w:r w:rsidR="00FD1CC2" w:rsidRPr="00FD1CC2">
              <w:rPr>
                <w:u w:val="single"/>
              </w:rPr>
              <w:t>оложительная динамика показателя среднего</w:t>
            </w:r>
            <w:r w:rsidR="00917B77">
              <w:rPr>
                <w:u w:val="single"/>
              </w:rPr>
              <w:t xml:space="preserve">дового </w:t>
            </w:r>
            <w:r w:rsidR="00FD1CC2" w:rsidRPr="00F635B8">
              <w:rPr>
                <w:u w:val="single"/>
              </w:rPr>
              <w:t xml:space="preserve">размера </w:t>
            </w:r>
            <w:r w:rsidR="00F635B8" w:rsidRPr="00F635B8">
              <w:rPr>
                <w:rFonts w:eastAsiaTheme="minorHAnsi"/>
                <w:u w:val="single"/>
                <w:lang w:eastAsia="en-US"/>
              </w:rPr>
              <w:t>пенсии</w:t>
            </w:r>
            <w:r w:rsidR="00F3522B" w:rsidRPr="00F635B8">
              <w:rPr>
                <w:color w:val="FFFFFF" w:themeColor="background1"/>
                <w:u w:val="single"/>
              </w:rPr>
              <w:t>1</w:t>
            </w:r>
          </w:p>
          <w:p w:rsidR="00F3522B" w:rsidRPr="00E46D9B" w:rsidRDefault="00F3522B" w:rsidP="00F3522B">
            <w:pPr>
              <w:jc w:val="center"/>
            </w:pPr>
            <w:r w:rsidRPr="00E46D9B">
              <w:t>(</w:t>
            </w:r>
            <w:r>
              <w:t>представляются описания изменений показателей</w:t>
            </w:r>
            <w:r w:rsidRPr="00E46D9B">
              <w:t>)</w:t>
            </w:r>
          </w:p>
        </w:tc>
      </w:tr>
      <w:tr w:rsidR="00F3522B" w:rsidRPr="00E46D9B" w:rsidTr="00F3522B">
        <w:tc>
          <w:tcPr>
            <w:tcW w:w="851" w:type="dxa"/>
          </w:tcPr>
          <w:p w:rsidR="00F3522B" w:rsidRPr="00E46D9B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</w:t>
            </w:r>
            <w:r>
              <w:t>2</w:t>
            </w:r>
          </w:p>
        </w:tc>
        <w:tc>
          <w:tcPr>
            <w:tcW w:w="8788" w:type="dxa"/>
          </w:tcPr>
          <w:p w:rsidR="00304A27" w:rsidRPr="00E46D9B" w:rsidRDefault="00304A27" w:rsidP="00304A27">
            <w:pPr>
              <w:jc w:val="center"/>
            </w:pPr>
            <w:r w:rsidRPr="00E46D9B">
              <w:t>Оценка эффективности действующих мер</w:t>
            </w:r>
            <w:r>
              <w:t xml:space="preserve"> государственного регулирования</w:t>
            </w:r>
            <w:r>
              <w:br/>
            </w:r>
            <w:r w:rsidRPr="00E46D9B">
              <w:t>в описываемой сфере или отрасли экономики</w:t>
            </w:r>
            <w:r>
              <w:rPr>
                <w:vertAlign w:val="superscript"/>
              </w:rPr>
              <w:t>1</w:t>
            </w:r>
            <w:r w:rsidRPr="00E46D9B">
              <w:t>:</w:t>
            </w:r>
          </w:p>
          <w:p w:rsidR="00304A27" w:rsidRPr="00E46D9B" w:rsidRDefault="00304A27" w:rsidP="00304A27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3522B" w:rsidRPr="00E46D9B" w:rsidRDefault="00304A27" w:rsidP="00304A27">
            <w:pPr>
              <w:jc w:val="center"/>
            </w:pPr>
            <w:r w:rsidRPr="00E46D9B">
              <w:t>(указывается перечень мер с характеристикой их влияния)</w:t>
            </w:r>
          </w:p>
        </w:tc>
      </w:tr>
    </w:tbl>
    <w:p w:rsidR="00F3522B" w:rsidRDefault="00F3522B" w:rsidP="00F3522B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0"/>
        <w:gridCol w:w="8407"/>
      </w:tblGrid>
      <w:tr w:rsidR="00F3522B" w:rsidRPr="00E46D9B" w:rsidTr="00F3522B">
        <w:tc>
          <w:tcPr>
            <w:tcW w:w="851" w:type="dxa"/>
          </w:tcPr>
          <w:p w:rsidR="00F3522B" w:rsidRPr="00A53A64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A53A64">
              <w:lastRenderedPageBreak/>
              <w:t>2.3</w:t>
            </w:r>
          </w:p>
        </w:tc>
        <w:tc>
          <w:tcPr>
            <w:tcW w:w="8788" w:type="dxa"/>
            <w:vAlign w:val="center"/>
          </w:tcPr>
          <w:p w:rsidR="00F3522B" w:rsidRDefault="00F3522B" w:rsidP="00F3522B">
            <w:pPr>
              <w:jc w:val="center"/>
            </w:pPr>
            <w:r w:rsidRPr="00A53A64"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 xml:space="preserve">Указом от </w:t>
            </w:r>
            <w:r w:rsidR="004957FA">
              <w:rPr>
                <w:rFonts w:eastAsia="Calibri"/>
                <w:u w:val="single"/>
                <w:lang w:eastAsia="en-US"/>
              </w:rPr>
              <w:t>0</w:t>
            </w:r>
            <w:r w:rsidRPr="00886AD9">
              <w:rPr>
                <w:rFonts w:eastAsia="Calibri"/>
                <w:u w:val="single"/>
                <w:lang w:eastAsia="en-US"/>
              </w:rPr>
              <w:t>7</w:t>
            </w:r>
            <w:r w:rsidR="004957FA">
              <w:rPr>
                <w:rFonts w:eastAsia="Calibri"/>
                <w:u w:val="single"/>
                <w:lang w:eastAsia="en-US"/>
              </w:rPr>
              <w:t>.05.</w:t>
            </w:r>
            <w:r w:rsidRPr="00886AD9">
              <w:rPr>
                <w:rFonts w:eastAsia="Calibri"/>
                <w:u w:val="single"/>
                <w:lang w:eastAsia="en-US"/>
              </w:rPr>
              <w:t>2018 № 204 «О национальных целях и стратегических задачах развития Российской Федерации до 2024 года» Президент Российской Федерации поставил задачу Правительству Российской Федерации обеспечить рост уровня пенсионного обеспечения выше уровня инфляции.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 xml:space="preserve">В этой связи принят Федеральный закон от </w:t>
            </w:r>
            <w:r w:rsidR="004957FA">
              <w:rPr>
                <w:rFonts w:eastAsia="Calibri"/>
                <w:u w:val="single"/>
                <w:lang w:eastAsia="en-US"/>
              </w:rPr>
              <w:t>0</w:t>
            </w:r>
            <w:r w:rsidRPr="00886AD9">
              <w:rPr>
                <w:rFonts w:eastAsia="Calibri"/>
                <w:u w:val="single"/>
                <w:lang w:eastAsia="en-US"/>
              </w:rPr>
              <w:t>3</w:t>
            </w:r>
            <w:r w:rsidR="004957FA">
              <w:rPr>
                <w:rFonts w:eastAsia="Calibri"/>
                <w:u w:val="single"/>
                <w:lang w:eastAsia="en-US"/>
              </w:rPr>
              <w:t>.10.</w:t>
            </w:r>
            <w:r w:rsidRPr="00886AD9">
              <w:rPr>
                <w:rFonts w:eastAsia="Calibri"/>
                <w:u w:val="single"/>
                <w:lang w:eastAsia="en-US"/>
              </w:rPr>
              <w:t>2018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№ 350-ФЗ «О внесении изменений в отдельные законодательные акты Российской Федерации по вопросам назначения и выплаты пенсии» (далее – Федеральный закон № 350-ФЗ).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Реализация Федерального закона № 350-ФЗ позволила создать гарантированный механизм ежегодного увеличения пенсий выше уровня инфляции.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Этим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Федеральн</w:t>
            </w:r>
            <w:r w:rsidR="004957FA">
              <w:rPr>
                <w:rFonts w:eastAsia="Calibri"/>
                <w:u w:val="single"/>
                <w:lang w:eastAsia="en-US"/>
              </w:rPr>
              <w:t>ы</w:t>
            </w:r>
            <w:r w:rsidRPr="00886AD9">
              <w:rPr>
                <w:rFonts w:eastAsia="Calibri"/>
                <w:u w:val="single"/>
                <w:lang w:eastAsia="en-US"/>
              </w:rPr>
              <w:t>м закон</w:t>
            </w:r>
            <w:r w:rsidR="004957FA">
              <w:rPr>
                <w:rFonts w:eastAsia="Calibri"/>
                <w:u w:val="single"/>
                <w:lang w:eastAsia="en-US"/>
              </w:rPr>
              <w:t>ом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на период 2019-2024 года заложены параметры индексации страховых пенсий в размерах, превышающих прогнозный уровень инфляции.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По оценкам также и в долгосрочной перспективе будет наблюдаться ежегодный рост пенсий выше уровня инфляции.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январе 2019 года прошла повышенная индексация страховых пенсий на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7,05%,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результате которой выплаты 31 млн. неработающих пенсионеров были увеличены сверх уровня инфляции за 2018 год (4,3%). Индексация прошла с 1 января, на месяц раньше определенного законом о страховых пенсиях срока. Среднегодовой размер страховой пенсии по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старости неработающих пенсионеров по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итогам года вырос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среднем чуть больше чем на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тысячу рублей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месяц, с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14,4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тыс. до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15,5 тыс.</w:t>
            </w:r>
            <w:r w:rsidR="004957FA">
              <w:rPr>
                <w:rFonts w:eastAsia="Calibri"/>
                <w:u w:val="single"/>
                <w:lang w:eastAsia="en-US"/>
              </w:rPr>
              <w:t> </w:t>
            </w:r>
            <w:r w:rsidRPr="00886AD9">
              <w:rPr>
                <w:rFonts w:eastAsia="Calibri"/>
                <w:u w:val="single"/>
                <w:lang w:eastAsia="en-US"/>
              </w:rPr>
              <w:t>рублей. При этом</w:t>
            </w:r>
            <w:r w:rsidR="003A5B27">
              <w:rPr>
                <w:rFonts w:eastAsia="Calibri"/>
                <w:u w:val="single"/>
                <w:lang w:eastAsia="en-US"/>
              </w:rPr>
              <w:t>,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в 2019 году темп роста среднего размера страховой пенсии по старости неработающих пенсионеров составил в реальном выражении - 2,8 процента.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Пенсии по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государственному пенсионному обеспечению, включая социальные,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апреле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2019 г.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проиндексированы на 2%. Повышение коснулось 4 млн. работающих и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неработающих пенсионеров,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результате чего средний размер социальной пенсии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2019 </w:t>
            </w:r>
            <w:r w:rsidRPr="00886AD9">
              <w:rPr>
                <w:rFonts w:eastAsia="Calibri"/>
                <w:u w:val="single"/>
                <w:lang w:eastAsia="en-US"/>
              </w:rPr>
              <w:t>году вырос до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9,3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тыс. рублей.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С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1 января 2019 г</w:t>
            </w:r>
            <w:r w:rsidR="00CD4C89">
              <w:rPr>
                <w:rFonts w:eastAsia="Calibri"/>
                <w:u w:val="single"/>
                <w:lang w:eastAsia="en-US"/>
              </w:rPr>
              <w:t>.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были повышены выплаты пенсионерам, проработавшим не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менее 30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лет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сельском хозяйстве и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живущим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сельской местности. Фиксированная выплата к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страховой пенсии жителей села была повышена на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25%, или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на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1,3 тыс.</w:t>
            </w:r>
            <w:r w:rsidR="004957FA">
              <w:rPr>
                <w:rFonts w:eastAsia="Calibri"/>
                <w:u w:val="single"/>
                <w:lang w:eastAsia="en-US"/>
              </w:rPr>
              <w:t> </w:t>
            </w:r>
            <w:r w:rsidRPr="00886AD9">
              <w:rPr>
                <w:rFonts w:eastAsia="Calibri"/>
                <w:u w:val="single"/>
                <w:lang w:eastAsia="en-US"/>
              </w:rPr>
              <w:t>рублей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месяц. В 2019 году прибавку к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пенсии получили почти миллион неработающих сельских пенсионеров.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середине года проведена работа по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увеличению выплат селянам с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учетом расширенного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июне перечня профессий и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должностей в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сельском хозяйстве, дающих право на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повышенный размер пенсии.</w:t>
            </w:r>
          </w:p>
          <w:p w:rsidR="00886AD9" w:rsidRPr="004957FA" w:rsidRDefault="00886AD9" w:rsidP="004957FA">
            <w:pPr>
              <w:autoSpaceDE w:val="0"/>
              <w:autoSpaceDN w:val="0"/>
              <w:adjustRightInd w:val="0"/>
              <w:ind w:right="24" w:firstLine="367"/>
              <w:jc w:val="both"/>
              <w:rPr>
                <w:u w:val="single"/>
              </w:rPr>
            </w:pPr>
            <w:r w:rsidRPr="004957FA">
              <w:rPr>
                <w:u w:val="single"/>
              </w:rPr>
              <w:t>С 1 августа 2019 г</w:t>
            </w:r>
            <w:r w:rsidR="004957FA">
              <w:rPr>
                <w:u w:val="single"/>
              </w:rPr>
              <w:t xml:space="preserve">. </w:t>
            </w:r>
            <w:r w:rsidRPr="004957FA">
              <w:rPr>
                <w:u w:val="single"/>
              </w:rPr>
              <w:t xml:space="preserve">проведен </w:t>
            </w:r>
            <w:proofErr w:type="spellStart"/>
            <w:r w:rsidRPr="004957FA">
              <w:rPr>
                <w:u w:val="single"/>
              </w:rPr>
              <w:t>беззаявительный</w:t>
            </w:r>
            <w:proofErr w:type="spellEnd"/>
            <w:r w:rsidRPr="004957FA">
              <w:rPr>
                <w:u w:val="single"/>
              </w:rPr>
              <w:t xml:space="preserve"> перерасчет размеров страховых пенсий порядка 12,2 млн. пенсионерам, осуществлявшим работу в 2018 году, по данным индивидуально</w:t>
            </w:r>
            <w:r w:rsidR="003A5B27">
              <w:rPr>
                <w:u w:val="single"/>
              </w:rPr>
              <w:t>го (персонифицированного) учета</w:t>
            </w:r>
            <w:r w:rsidRPr="004957FA">
              <w:rPr>
                <w:u w:val="single"/>
              </w:rPr>
              <w:t>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 xml:space="preserve">В целом </w:t>
            </w:r>
            <w:r w:rsidR="004957FA">
              <w:rPr>
                <w:rFonts w:eastAsia="Calibri"/>
                <w:u w:val="single"/>
                <w:lang w:eastAsia="en-US"/>
              </w:rPr>
              <w:t>ПФР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в 2019 г</w:t>
            </w:r>
            <w:r w:rsidR="00CD4C89">
              <w:rPr>
                <w:rFonts w:eastAsia="Calibri"/>
                <w:u w:val="single"/>
                <w:lang w:eastAsia="en-US"/>
              </w:rPr>
              <w:t>.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обеспечил выплату пенсий около 44 млн. пенсионерам, инвалидам, ветеранам на сумму порядка 8 </w:t>
            </w:r>
            <w:proofErr w:type="spellStart"/>
            <w:r w:rsidRPr="00886AD9">
              <w:rPr>
                <w:rFonts w:eastAsia="Calibri"/>
                <w:u w:val="single"/>
                <w:lang w:eastAsia="en-US"/>
              </w:rPr>
              <w:t>трлн.рублей</w:t>
            </w:r>
            <w:proofErr w:type="spellEnd"/>
            <w:r w:rsidRPr="00886AD9">
              <w:rPr>
                <w:rFonts w:eastAsia="Calibri"/>
                <w:u w:val="single"/>
                <w:lang w:eastAsia="en-US"/>
              </w:rPr>
              <w:t>.</w:t>
            </w:r>
          </w:p>
          <w:p w:rsidR="00886AD9" w:rsidRPr="00886AD9" w:rsidRDefault="00CD4C8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</w:t>
            </w:r>
            <w:r w:rsidR="004957FA">
              <w:rPr>
                <w:rFonts w:eastAsia="Calibri"/>
                <w:u w:val="single"/>
                <w:lang w:eastAsia="en-US"/>
              </w:rPr>
              <w:t xml:space="preserve"> </w:t>
            </w:r>
            <w:r w:rsidR="00886AD9" w:rsidRPr="00886AD9">
              <w:rPr>
                <w:rFonts w:eastAsia="Calibri"/>
                <w:u w:val="single"/>
                <w:lang w:eastAsia="en-US"/>
              </w:rPr>
              <w:t>января</w:t>
            </w:r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2019 г</w:t>
            </w:r>
            <w:r w:rsidR="00886AD9" w:rsidRPr="00886AD9">
              <w:rPr>
                <w:rFonts w:eastAsia="Calibri"/>
                <w:u w:val="single"/>
                <w:lang w:eastAsia="en-US"/>
              </w:rPr>
              <w:t>. начался переходный период по повышению пенсионного возраста, реализован ряд мер, сохраняющих прежние пенсионные и социальные льготы для россиян.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Среди таких мер - досрочный выход на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пенсию, назначение пенсий по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инвалидности независимо от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возраста, сохранение границ пенсионного возраста при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выплате пенсионных накоплений и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некоторые другие. Помимо этого, введены новые льготы по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выходу на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пенсию для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людей с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большим стажем и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для </w:t>
            </w:r>
            <w:r w:rsidRPr="00886AD9">
              <w:rPr>
                <w:rFonts w:eastAsia="Calibri"/>
                <w:u w:val="single"/>
                <w:lang w:eastAsia="en-US"/>
              </w:rPr>
              <w:t>женщин, воспитавших трех и</w:t>
            </w:r>
            <w:r w:rsidR="00CD4C89">
              <w:rPr>
                <w:rFonts w:eastAsia="Calibri"/>
                <w:u w:val="single"/>
                <w:lang w:eastAsia="en-US"/>
              </w:rPr>
              <w:t xml:space="preserve"> </w:t>
            </w:r>
            <w:r w:rsidRPr="00886AD9">
              <w:rPr>
                <w:rFonts w:eastAsia="Calibri"/>
                <w:u w:val="single"/>
                <w:lang w:eastAsia="en-US"/>
              </w:rPr>
              <w:t>четырех детей.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В 2019 году численность лиц, которым назначена страховая пенсия по старости ранее общеустановленного возраста при наличии страхового стажа              42 и 37 лет для мужчин и женщин соответственно, составляет 17,4 тыс. человек.</w:t>
            </w:r>
          </w:p>
          <w:p w:rsidR="00886AD9" w:rsidRPr="00886AD9" w:rsidRDefault="00886AD9" w:rsidP="004957FA">
            <w:pPr>
              <w:shd w:val="clear" w:color="auto" w:fill="FFFFFF"/>
              <w:ind w:firstLine="367"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 xml:space="preserve">Для граждан </w:t>
            </w:r>
            <w:proofErr w:type="spellStart"/>
            <w:r w:rsidRPr="00886AD9">
              <w:rPr>
                <w:u w:val="single"/>
              </w:rPr>
              <w:t>предпенсионного</w:t>
            </w:r>
            <w:proofErr w:type="spellEnd"/>
            <w:r w:rsidRPr="00886AD9">
              <w:rPr>
                <w:u w:val="single"/>
              </w:rPr>
              <w:t xml:space="preserve"> возраста сохранены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      </w:r>
          </w:p>
          <w:p w:rsidR="00886AD9" w:rsidRPr="00886AD9" w:rsidRDefault="00886AD9" w:rsidP="004957FA">
            <w:pPr>
              <w:shd w:val="clear" w:color="auto" w:fill="FFFFFF"/>
              <w:ind w:firstLine="367"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 xml:space="preserve">С 2019 года для </w:t>
            </w:r>
            <w:proofErr w:type="spellStart"/>
            <w:r w:rsidRPr="00886AD9">
              <w:rPr>
                <w:u w:val="single"/>
              </w:rPr>
              <w:t>предпенсионеров</w:t>
            </w:r>
            <w:proofErr w:type="spellEnd"/>
            <w:r w:rsidRPr="00886AD9">
              <w:rPr>
                <w:u w:val="single"/>
              </w:rPr>
              <w:t xml:space="preserve"> также введены новые льготы, связанные с ежегодной диспансеризацией, и дополнительные гарантии трудовой занятости. </w:t>
            </w:r>
          </w:p>
          <w:p w:rsidR="00886AD9" w:rsidRPr="00886AD9" w:rsidRDefault="00886AD9" w:rsidP="004957FA">
            <w:pPr>
              <w:shd w:val="clear" w:color="auto" w:fill="FFFFFF"/>
              <w:ind w:firstLine="367"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 xml:space="preserve">На основании заключенных соглашений сведения об отнесении граждан к категории </w:t>
            </w:r>
            <w:proofErr w:type="spellStart"/>
            <w:r w:rsidRPr="00886AD9">
              <w:rPr>
                <w:u w:val="single"/>
              </w:rPr>
              <w:t>предпенсионного</w:t>
            </w:r>
            <w:proofErr w:type="spellEnd"/>
            <w:r w:rsidRPr="00886AD9">
              <w:rPr>
                <w:u w:val="single"/>
              </w:rPr>
              <w:t xml:space="preserve"> возраста территориальными органами ПФР представляются работодателям, органам социальной защиты населения и органам исполнительной власти субъектов Российской Федерации.</w:t>
            </w:r>
          </w:p>
          <w:p w:rsidR="00886AD9" w:rsidRPr="00886AD9" w:rsidRDefault="00886AD9" w:rsidP="004957FA">
            <w:pPr>
              <w:shd w:val="clear" w:color="auto" w:fill="FFFFFF"/>
              <w:ind w:firstLine="367"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>Федеральным законом от 3 октября 2018 г. № 349-ФЗ «О ратификации Конвенции о</w:t>
            </w:r>
            <w:r w:rsidR="00CD4C89">
              <w:rPr>
                <w:u w:val="single"/>
              </w:rPr>
              <w:t xml:space="preserve"> </w:t>
            </w:r>
            <w:r w:rsidRPr="00886AD9">
              <w:rPr>
                <w:u w:val="single"/>
              </w:rPr>
              <w:t>минимальных нормах социального обеспечения (Конвенции № 102)» с 1 января 2019 г</w:t>
            </w:r>
            <w:r w:rsidR="00CD4C89">
              <w:rPr>
                <w:u w:val="single"/>
              </w:rPr>
              <w:t>.</w:t>
            </w:r>
            <w:r w:rsidRPr="00886AD9">
              <w:rPr>
                <w:u w:val="single"/>
              </w:rPr>
              <w:t xml:space="preserve"> Конвенция ратифицирована в Российской Федерации.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Положения Конвенции вступили в силу для Российской Федерации                  26 февраля 2020 года.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Начиная с 1 июля 2019 г</w:t>
            </w:r>
            <w:r w:rsidR="00CD4C89">
              <w:rPr>
                <w:rFonts w:eastAsia="Calibri"/>
                <w:u w:val="single"/>
                <w:lang w:eastAsia="en-US"/>
              </w:rPr>
              <w:t>.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Указом Президента Российской Федерации от 7 марта 2019 г.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 установлены ежемесячные выплаты родителям (усыновителям) или опекунам (попечителям) осуществляющим уход за ребенком-инвалидом в возрасте до 18 лет или инвалидом с детства I группы в размере 10 000 рублей, вместо ранее выплачиваемых 5500 рублей. Размер выплаты устанавливается с применением районного коэффициента.</w:t>
            </w:r>
          </w:p>
          <w:p w:rsidR="00CD4C8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Среднегодовая численность детей-инвалидов и инвалидов с детства, за которыми осуществляется уход, в 2019 году составила более 600 тыс. человек.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 xml:space="preserve">Среди пенсионеров с самым низким уровнем доходов, начиная с 2010 года общий уровень материального обеспечения пенсионера не может быть ниже величины прожиточного минимума пенсионера (ПМП) в конкретном субъекте Российской Федерации, где пенсионер проживает. В этих целях устанавливается федеральная, либо региональная социальная доплата к пенсии. 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Федеральным законом от 1 апреля 2019 г. № 49-ФЗ «О внесении изменений в статью 12</w:t>
            </w:r>
            <w:r w:rsidRPr="00886AD9">
              <w:rPr>
                <w:rFonts w:eastAsia="Calibri"/>
                <w:u w:val="single"/>
                <w:vertAlign w:val="superscript"/>
                <w:lang w:eastAsia="en-US"/>
              </w:rPr>
              <w:t>1</w:t>
            </w:r>
            <w:r w:rsidRPr="00886AD9">
              <w:rPr>
                <w:rFonts w:eastAsia="Calibri"/>
                <w:u w:val="single"/>
                <w:lang w:eastAsia="en-US"/>
              </w:rPr>
              <w:t xml:space="preserve"> Федерального закона «О государственной социальной помощи» и статью 4 Федерального закона «О прожиточном минимуме в Российской Федерации» с 1 января 2019 г. введен новый алгоритм подсчета общей суммы материального обеспечения пенсионера в целях осуществления социальной доплаты к пенсии. Федеральный закон № 49-ФЗ позволил обеспечить выплату сумм индексаций пенсий и ежемесячной денежной выплаты сверх ПМП, а также установить единые для всех субъектов правила определения величины прожиточного минимума пенсионера в целях установления социальной доплаты к пенсии. </w:t>
            </w:r>
          </w:p>
          <w:p w:rsidR="00886AD9" w:rsidRPr="00886AD9" w:rsidRDefault="00886AD9" w:rsidP="004957FA">
            <w:pPr>
              <w:ind w:firstLine="367"/>
              <w:jc w:val="both"/>
              <w:rPr>
                <w:rFonts w:eastAsia="Calibri"/>
                <w:u w:val="single"/>
                <w:lang w:eastAsia="en-US"/>
              </w:rPr>
            </w:pPr>
            <w:r w:rsidRPr="00886AD9">
              <w:rPr>
                <w:rFonts w:eastAsia="Calibri"/>
                <w:u w:val="single"/>
                <w:lang w:eastAsia="en-US"/>
              </w:rPr>
              <w:t>Численность граждан, которым социальная доплата пересмотрена по новому законодательству, составила 4 393 845 чел., из них: 3 961 381 чел. - получатели федеральной социальной доплаты к пенсии; 432 464 чел. – получатели региональной социальной доплаты к пенсии.</w:t>
            </w:r>
          </w:p>
          <w:p w:rsidR="00886AD9" w:rsidRPr="00886AD9" w:rsidRDefault="00886AD9" w:rsidP="004957FA">
            <w:pPr>
              <w:suppressAutoHyphens/>
              <w:ind w:firstLine="367"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 xml:space="preserve"> В целях минимизации рисков мошеннических действий в отношении граждан принятым 29</w:t>
            </w:r>
            <w:r w:rsidR="00CD4C89">
              <w:rPr>
                <w:u w:val="single"/>
              </w:rPr>
              <w:t>.07.</w:t>
            </w:r>
            <w:r w:rsidRPr="00886AD9">
              <w:rPr>
                <w:u w:val="single"/>
              </w:rPr>
              <w:t>2018 Федеральным законом № 269-ФЗ «О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страховании» (далее - Федеральный закон № 269-ФЗ), в разработке которого Минтруд России принимал участие, с 1 января 2019 г</w:t>
            </w:r>
            <w:r w:rsidR="00CD4C89">
              <w:rPr>
                <w:u w:val="single"/>
              </w:rPr>
              <w:t xml:space="preserve">. </w:t>
            </w:r>
            <w:r w:rsidRPr="00886AD9">
              <w:rPr>
                <w:u w:val="single"/>
              </w:rPr>
              <w:t>были существенно ограничены возможности злоупотреблений при досрочной смене страховщика, исключена возможность подачи заявлений о смене страховщика по почте и курьером, обеспечено информирование граждан о возможной потере инвестиционного дохода при досрочной смене страховщика.</w:t>
            </w:r>
          </w:p>
          <w:p w:rsidR="00886AD9" w:rsidRPr="00886AD9" w:rsidRDefault="00886AD9" w:rsidP="004957FA">
            <w:pPr>
              <w:suppressAutoHyphens/>
              <w:ind w:firstLine="367"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>Так, Федеральным законом № 269-ФЗ реализованы следующие меры:</w:t>
            </w:r>
          </w:p>
          <w:p w:rsidR="00886AD9" w:rsidRPr="00886AD9" w:rsidRDefault="00886AD9" w:rsidP="004957FA">
            <w:pPr>
              <w:suppressAutoHyphens/>
              <w:ind w:firstLine="367"/>
              <w:jc w:val="both"/>
              <w:rPr>
                <w:bCs/>
                <w:u w:val="single"/>
              </w:rPr>
            </w:pPr>
            <w:r w:rsidRPr="00886AD9">
              <w:rPr>
                <w:bCs/>
                <w:u w:val="single"/>
              </w:rPr>
              <w:t xml:space="preserve">подача всех заявлений осуществляется только через сервисы электронного правительства, а именно: через личный кабинет гражданина на Едином портале государственных и муниципальных услуг (далее - ЕПГУ) либо лично в клиентской службе </w:t>
            </w:r>
            <w:r w:rsidR="003A5B27">
              <w:rPr>
                <w:bCs/>
                <w:u w:val="single"/>
              </w:rPr>
              <w:t>ПФР</w:t>
            </w:r>
            <w:r w:rsidRPr="00886AD9">
              <w:rPr>
                <w:bCs/>
                <w:u w:val="single"/>
              </w:rPr>
              <w:t xml:space="preserve"> с регистрацией заявления на ЕПГУ в день подачи;</w:t>
            </w:r>
          </w:p>
          <w:p w:rsidR="00886AD9" w:rsidRPr="00886AD9" w:rsidRDefault="00886AD9" w:rsidP="004957FA">
            <w:pPr>
              <w:suppressAutoHyphens/>
              <w:ind w:firstLine="367"/>
              <w:jc w:val="both"/>
              <w:rPr>
                <w:bCs/>
                <w:u w:val="single"/>
              </w:rPr>
            </w:pPr>
            <w:r w:rsidRPr="00886AD9">
              <w:rPr>
                <w:bCs/>
                <w:u w:val="single"/>
              </w:rPr>
              <w:t xml:space="preserve">обязательное информирование </w:t>
            </w:r>
            <w:r w:rsidR="003A5B27">
              <w:rPr>
                <w:bCs/>
                <w:u w:val="single"/>
              </w:rPr>
              <w:t>ПФР</w:t>
            </w:r>
            <w:r w:rsidRPr="00886AD9">
              <w:rPr>
                <w:bCs/>
                <w:u w:val="single"/>
              </w:rPr>
              <w:t xml:space="preserve"> застрахованного лица до подачи им заявления о досрочной смене страховщика о сумме утрачиваемого инвестиционного дохода или о сумме убытка, не подлежащего гарантийному восполнению;</w:t>
            </w:r>
          </w:p>
          <w:p w:rsidR="00886AD9" w:rsidRPr="00886AD9" w:rsidRDefault="00886AD9" w:rsidP="004957FA">
            <w:pPr>
              <w:suppressAutoHyphens/>
              <w:ind w:firstLine="367"/>
              <w:jc w:val="both"/>
              <w:rPr>
                <w:bCs/>
                <w:u w:val="single"/>
              </w:rPr>
            </w:pPr>
            <w:r w:rsidRPr="00886AD9">
              <w:rPr>
                <w:bCs/>
                <w:u w:val="single"/>
              </w:rPr>
              <w:t xml:space="preserve">возможность застрахованного лица отказаться от смены страховщика путем направления в </w:t>
            </w:r>
            <w:r w:rsidR="003A5B27">
              <w:rPr>
                <w:bCs/>
                <w:u w:val="single"/>
              </w:rPr>
              <w:t>ПФР</w:t>
            </w:r>
            <w:r w:rsidRPr="00886AD9">
              <w:rPr>
                <w:bCs/>
                <w:u w:val="single"/>
              </w:rPr>
              <w:t xml:space="preserve"> уведомления об отказе от смены страховщика.</w:t>
            </w:r>
          </w:p>
          <w:p w:rsidR="00886AD9" w:rsidRPr="00886AD9" w:rsidRDefault="00886AD9" w:rsidP="004957FA">
            <w:pPr>
              <w:suppressAutoHyphens/>
              <w:ind w:firstLine="367"/>
              <w:jc w:val="both"/>
              <w:rPr>
                <w:bCs/>
                <w:u w:val="single"/>
              </w:rPr>
            </w:pPr>
            <w:r w:rsidRPr="00886AD9">
              <w:rPr>
                <w:u w:val="single"/>
              </w:rPr>
              <w:t>При этом реализация норм Федерального закона № 269-ФЗ показала эффективность законодательно оформленных решений, поскольку в 2019 году резко снизилось количество заявлений о смене страховщика. Так, по итогам переходной компании 2019 года подано 356 872 таких заявления, в то время как в 2018 году было подано 1 956 240 заявлений, то есть имело место снижение в 5,5 раз, что свидетельствует об эффективности принятых мер.</w:t>
            </w:r>
          </w:p>
          <w:p w:rsidR="00886AD9" w:rsidRPr="00886AD9" w:rsidRDefault="00886AD9" w:rsidP="004957FA">
            <w:pPr>
              <w:autoSpaceDE w:val="0"/>
              <w:autoSpaceDN w:val="0"/>
              <w:adjustRightInd w:val="0"/>
              <w:ind w:firstLine="367"/>
              <w:contextualSpacing/>
              <w:jc w:val="both"/>
              <w:rPr>
                <w:bCs/>
                <w:u w:val="single"/>
              </w:rPr>
            </w:pPr>
            <w:r w:rsidRPr="00886AD9">
              <w:rPr>
                <w:bCs/>
                <w:u w:val="single"/>
              </w:rPr>
              <w:t>Мониторинг судебной практики по данной проблематике показал, что по искам о признании недействительным договора об обязательном пенсионном страховании, заключенного ненадлежащими сторонами, количество дел по указанной категории спорных правоотношений с участием органов ПФР в 2019</w:t>
            </w:r>
            <w:r w:rsidR="003A5B27">
              <w:rPr>
                <w:bCs/>
                <w:u w:val="single"/>
              </w:rPr>
              <w:t> </w:t>
            </w:r>
            <w:r w:rsidRPr="00886AD9">
              <w:rPr>
                <w:bCs/>
                <w:u w:val="single"/>
              </w:rPr>
              <w:t>году по сравнению с 2018 годо</w:t>
            </w:r>
            <w:r w:rsidR="003A5B27">
              <w:rPr>
                <w:bCs/>
                <w:u w:val="single"/>
              </w:rPr>
              <w:t>м</w:t>
            </w:r>
            <w:r w:rsidRPr="00886AD9">
              <w:rPr>
                <w:bCs/>
                <w:u w:val="single"/>
              </w:rPr>
              <w:t xml:space="preserve"> снизилось на 41%.</w:t>
            </w:r>
          </w:p>
          <w:p w:rsidR="00886AD9" w:rsidRPr="00886AD9" w:rsidRDefault="00886AD9" w:rsidP="004957FA">
            <w:pPr>
              <w:suppressAutoHyphens/>
              <w:ind w:firstLine="367"/>
              <w:contextualSpacing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 xml:space="preserve">27 декабря 2019 г. принят </w:t>
            </w:r>
            <w:hyperlink r:id="rId10" w:history="1">
              <w:r w:rsidRPr="00886AD9">
                <w:rPr>
                  <w:u w:val="single"/>
                </w:rPr>
                <w:t>Федеральный закон № 446-ФЗ «Об ожидаемом периоде выплаты накопительной пенсии на 2020 год»</w:t>
              </w:r>
              <w:r w:rsidR="004957FA" w:rsidRPr="004957FA">
                <w:rPr>
                  <w:u w:val="single"/>
                </w:rPr>
                <w:t xml:space="preserve">, согласно которому </w:t>
              </w:r>
              <w:r w:rsidR="004957FA" w:rsidRPr="00886AD9">
                <w:rPr>
                  <w:u w:val="single"/>
                </w:rPr>
                <w:t xml:space="preserve">продолжительность ожидаемого периода выплаты накопительной пенсии на 2020 год </w:t>
              </w:r>
              <w:r w:rsidR="004957FA" w:rsidRPr="004957FA">
                <w:rPr>
                  <w:u w:val="single"/>
                </w:rPr>
                <w:t>составляет</w:t>
              </w:r>
              <w:r w:rsidR="004957FA" w:rsidRPr="00886AD9">
                <w:rPr>
                  <w:u w:val="single"/>
                </w:rPr>
                <w:t xml:space="preserve"> 258 месяцев.</w:t>
              </w:r>
            </w:hyperlink>
          </w:p>
          <w:p w:rsidR="00886AD9" w:rsidRPr="00886AD9" w:rsidRDefault="00886AD9" w:rsidP="004957FA">
            <w:pPr>
              <w:suppressAutoHyphens/>
              <w:ind w:firstLine="367"/>
              <w:contextualSpacing/>
              <w:jc w:val="both"/>
              <w:rPr>
                <w:u w:val="single"/>
              </w:rPr>
            </w:pPr>
            <w:r w:rsidRPr="00886AD9">
              <w:rPr>
                <w:u w:val="single"/>
              </w:rPr>
              <w:t>Ожидаемый период выплаты накопительной пенсии применяется для расчета размера накопительной пенсии.</w:t>
            </w:r>
          </w:p>
          <w:p w:rsidR="00F3522B" w:rsidRPr="00A53A64" w:rsidRDefault="00F3522B" w:rsidP="00917B77">
            <w:pPr>
              <w:jc w:val="center"/>
            </w:pPr>
          </w:p>
        </w:tc>
      </w:tr>
    </w:tbl>
    <w:p w:rsidR="00DB3614" w:rsidRPr="00E46D9B" w:rsidRDefault="00DB3614" w:rsidP="00DB36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Дается оценка достаточности и эффективности регулирующих соответствующую сферу</w:t>
      </w:r>
      <w:r>
        <w:rPr>
          <w:sz w:val="22"/>
          <w:szCs w:val="22"/>
        </w:rPr>
        <w:br/>
        <w:t xml:space="preserve">или отрасль экономики </w:t>
      </w:r>
      <w:r w:rsidRPr="00E46D9B">
        <w:rPr>
          <w:sz w:val="22"/>
          <w:szCs w:val="22"/>
        </w:rPr>
        <w:t>нормативны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правовы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акт</w:t>
      </w:r>
      <w:r>
        <w:rPr>
          <w:sz w:val="22"/>
          <w:szCs w:val="22"/>
        </w:rPr>
        <w:t>ов и международных соглашений.</w:t>
      </w:r>
      <w:r w:rsidRPr="00E46D9B">
        <w:rPr>
          <w:sz w:val="22"/>
          <w:szCs w:val="22"/>
        </w:rPr>
        <w:t xml:space="preserve"> </w:t>
      </w:r>
    </w:p>
    <w:p w:rsidR="00DB3614" w:rsidRPr="00E46D9B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</w:t>
      </w:r>
      <w:r w:rsidRPr="00E46D9B">
        <w:rPr>
          <w:sz w:val="22"/>
          <w:szCs w:val="22"/>
        </w:rPr>
        <w:t>мер, оказавших</w:t>
      </w:r>
      <w:r>
        <w:rPr>
          <w:sz w:val="22"/>
          <w:szCs w:val="22"/>
        </w:rPr>
        <w:t xml:space="preserve"> значимое</w:t>
      </w:r>
      <w:r w:rsidRPr="00E46D9B">
        <w:rPr>
          <w:sz w:val="22"/>
          <w:szCs w:val="22"/>
        </w:rPr>
        <w:t xml:space="preserve"> положительное влияние на сферу или отрасль экономики</w:t>
      </w:r>
      <w:r>
        <w:rPr>
          <w:sz w:val="22"/>
          <w:szCs w:val="22"/>
        </w:rPr>
        <w:t xml:space="preserve"> </w:t>
      </w:r>
      <w:r w:rsidRPr="00E46D9B">
        <w:rPr>
          <w:sz w:val="22"/>
          <w:szCs w:val="22"/>
        </w:rPr>
        <w:t>в целом</w:t>
      </w:r>
      <w:r>
        <w:rPr>
          <w:sz w:val="22"/>
          <w:szCs w:val="22"/>
        </w:rPr>
        <w:t xml:space="preserve">, приводится описание </w:t>
      </w:r>
      <w:r w:rsidRPr="00E46D9B">
        <w:rPr>
          <w:sz w:val="22"/>
          <w:szCs w:val="22"/>
        </w:rPr>
        <w:t>их влияния</w:t>
      </w:r>
      <w:r>
        <w:rPr>
          <w:sz w:val="22"/>
          <w:szCs w:val="22"/>
        </w:rPr>
        <w:t>.</w:t>
      </w:r>
    </w:p>
    <w:p w:rsidR="00DB3614" w:rsidRPr="00E46D9B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46D9B">
        <w:rPr>
          <w:sz w:val="22"/>
          <w:szCs w:val="22"/>
        </w:rPr>
        <w:t xml:space="preserve">При </w:t>
      </w:r>
      <w:r>
        <w:rPr>
          <w:sz w:val="22"/>
          <w:szCs w:val="22"/>
        </w:rPr>
        <w:t>выявлении мер, оказавших значимое отрицательное влияние на сферу или отрасль экономики в целом, приводится</w:t>
      </w:r>
      <w:r w:rsidRPr="00E46D9B">
        <w:rPr>
          <w:sz w:val="22"/>
          <w:szCs w:val="22"/>
        </w:rPr>
        <w:t xml:space="preserve"> описани</w:t>
      </w:r>
      <w:r>
        <w:rPr>
          <w:sz w:val="22"/>
          <w:szCs w:val="22"/>
        </w:rPr>
        <w:t>е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этого</w:t>
      </w:r>
      <w:r w:rsidRPr="00E46D9B">
        <w:rPr>
          <w:sz w:val="22"/>
          <w:szCs w:val="22"/>
        </w:rPr>
        <w:t xml:space="preserve"> влияния</w:t>
      </w:r>
      <w:r>
        <w:rPr>
          <w:sz w:val="22"/>
          <w:szCs w:val="22"/>
        </w:rPr>
        <w:t>, при этом в пункте 3.2 настоящей формы указываются</w:t>
      </w:r>
      <w:r w:rsidRPr="00E46D9B">
        <w:rPr>
          <w:sz w:val="22"/>
          <w:szCs w:val="22"/>
        </w:rPr>
        <w:t xml:space="preserve"> предложения</w:t>
      </w:r>
      <w:r>
        <w:rPr>
          <w:sz w:val="22"/>
          <w:szCs w:val="22"/>
        </w:rPr>
        <w:t xml:space="preserve"> по его </w:t>
      </w:r>
      <w:r w:rsidRPr="00E46D9B">
        <w:rPr>
          <w:sz w:val="22"/>
          <w:szCs w:val="22"/>
        </w:rPr>
        <w:t>предотвращени</w:t>
      </w:r>
      <w:r>
        <w:rPr>
          <w:sz w:val="22"/>
          <w:szCs w:val="22"/>
        </w:rPr>
        <w:t>ю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E46D9B">
        <w:rPr>
          <w:sz w:val="22"/>
          <w:szCs w:val="22"/>
        </w:rPr>
        <w:t xml:space="preserve"> дальнейше</w:t>
      </w:r>
      <w:r>
        <w:rPr>
          <w:sz w:val="22"/>
          <w:szCs w:val="22"/>
        </w:rPr>
        <w:t xml:space="preserve">м. </w:t>
      </w: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А</w:t>
      </w:r>
      <w:r w:rsidRPr="00E46D9B">
        <w:rPr>
          <w:sz w:val="28"/>
          <w:szCs w:val="28"/>
        </w:rPr>
        <w:t>нализ факторов, повлиявших на ход реализации отраслевого документа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DB3614" w:rsidRPr="00E46D9B" w:rsidTr="00DB3614">
        <w:tc>
          <w:tcPr>
            <w:tcW w:w="851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c>
          <w:tcPr>
            <w:tcW w:w="851" w:type="dxa"/>
          </w:tcPr>
          <w:p w:rsidR="00DB3614" w:rsidRPr="00E46D9B" w:rsidRDefault="00DB3614" w:rsidP="00DB361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Факторы, повлекшие полное или частичное неисполнение мероприятий</w:t>
            </w:r>
            <w:r>
              <w:br/>
              <w:t xml:space="preserve">и (или) </w:t>
            </w:r>
            <w:proofErr w:type="spellStart"/>
            <w:r>
              <w:t>недостижение</w:t>
            </w:r>
            <w:proofErr w:type="spellEnd"/>
            <w:r>
              <w:t xml:space="preserve"> целевых показателей (при наличии)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 xml:space="preserve">(указывается перечень </w:t>
            </w:r>
            <w:r>
              <w:t>факторов</w:t>
            </w:r>
            <w:r w:rsidRPr="00E46D9B">
              <w:t>)</w:t>
            </w:r>
          </w:p>
        </w:tc>
      </w:tr>
      <w:tr w:rsidR="00DB3614" w:rsidRPr="00E46D9B" w:rsidTr="00DB3614">
        <w:tc>
          <w:tcPr>
            <w:tcW w:w="851" w:type="dxa"/>
          </w:tcPr>
          <w:p w:rsidR="00DB3614" w:rsidRPr="00E46D9B" w:rsidRDefault="00DB3614" w:rsidP="00DB361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 xml:space="preserve">Предложения по </w:t>
            </w:r>
            <w:r>
              <w:t>совершенствованию мер государственного регулирования в рассматриваемой отрасли: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(указывается перечень мероприятий)</w:t>
            </w:r>
          </w:p>
        </w:tc>
      </w:tr>
    </w:tbl>
    <w:p w:rsidR="00DB3614" w:rsidRPr="00E46D9B" w:rsidRDefault="00DB3614" w:rsidP="00DB36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46D9B">
        <w:rPr>
          <w:sz w:val="28"/>
          <w:szCs w:val="28"/>
        </w:rPr>
        <w:t>. Предложения о необходимости корректировки отраслевого документа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8538"/>
      </w:tblGrid>
      <w:tr w:rsidR="00DB3614" w:rsidRPr="00E46D9B" w:rsidTr="00DB3614">
        <w:tc>
          <w:tcPr>
            <w:tcW w:w="709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</w:t>
            </w:r>
            <w:r w:rsidRPr="00E46D9B">
              <w:t>.1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 xml:space="preserve">Перечень </w:t>
            </w:r>
            <w:r>
              <w:t xml:space="preserve">факторов, последствия которых окажут значительное влияние на </w:t>
            </w:r>
            <w:r w:rsidRPr="00E46D9B">
              <w:t>сферы или отрасли экономики</w:t>
            </w:r>
            <w:r>
              <w:rPr>
                <w:vertAlign w:val="superscript"/>
              </w:rPr>
              <w:t xml:space="preserve"> 2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Default="00DB3614" w:rsidP="00DB3614">
            <w:pPr>
              <w:jc w:val="center"/>
            </w:pPr>
            <w:r w:rsidRPr="00E46D9B">
              <w:t xml:space="preserve">(указывается перечень </w:t>
            </w:r>
            <w:r>
              <w:t>факторов</w:t>
            </w:r>
            <w:r w:rsidRPr="00E46D9B">
              <w:t xml:space="preserve"> с характеристикой их влияния)</w:t>
            </w:r>
          </w:p>
          <w:p w:rsidR="000005B4" w:rsidRPr="00E46D9B" w:rsidRDefault="000005B4" w:rsidP="00DB3614">
            <w:pPr>
              <w:jc w:val="center"/>
            </w:pP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</w:t>
            </w:r>
            <w:r w:rsidRPr="00E46D9B">
              <w:t>.2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содержания </w:t>
            </w:r>
            <w:r w:rsidRPr="00E46D9B">
              <w:t>отраслевого документа стратегического планирования</w:t>
            </w:r>
            <w:r>
              <w:t xml:space="preserve">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 xml:space="preserve">тся </w:t>
            </w:r>
            <w:r>
              <w:t>предложения по корректировке и/или уточнению)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4.3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</w:t>
            </w:r>
            <w:r w:rsidRPr="00E46D9B">
              <w:t>мероприятий отраслевого документа</w:t>
            </w:r>
            <w:r>
              <w:t xml:space="preserve"> стратегического планирования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>тся пр</w:t>
            </w:r>
            <w:r>
              <w:t>едложения по корректировке и/или уточнению</w:t>
            </w:r>
            <w:r w:rsidRPr="00E46D9B">
              <w:t>)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Default="00DB3614" w:rsidP="00DB3614">
            <w:pPr>
              <w:spacing w:line="360" w:lineRule="auto"/>
              <w:jc w:val="both"/>
            </w:pPr>
            <w:r>
              <w:t>4.4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показателей </w:t>
            </w:r>
            <w:r w:rsidRPr="00E46D9B">
              <w:t>отраслевого документа</w:t>
            </w:r>
            <w:r>
              <w:t xml:space="preserve"> стратегического планирования и (или) их значений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>тся пр</w:t>
            </w:r>
            <w:r>
              <w:t>едложения по корректировке и (или) уточнению</w:t>
            </w:r>
            <w:r w:rsidRPr="00E46D9B">
              <w:t>)</w:t>
            </w:r>
          </w:p>
        </w:tc>
      </w:tr>
    </w:tbl>
    <w:p w:rsidR="00DB3614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Указываются факторы</w:t>
      </w:r>
      <w:r w:rsidRPr="00E46D9B">
        <w:rPr>
          <w:sz w:val="22"/>
          <w:szCs w:val="22"/>
        </w:rPr>
        <w:t>,</w:t>
      </w:r>
      <w:r>
        <w:rPr>
          <w:sz w:val="22"/>
          <w:szCs w:val="22"/>
        </w:rPr>
        <w:t xml:space="preserve"> последствия которых окажут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негативное или позитивное </w:t>
      </w:r>
      <w:r w:rsidRPr="00E46D9B">
        <w:rPr>
          <w:sz w:val="22"/>
          <w:szCs w:val="22"/>
        </w:rPr>
        <w:t>влияние</w:t>
      </w:r>
      <w:r>
        <w:rPr>
          <w:sz w:val="22"/>
          <w:szCs w:val="22"/>
        </w:rPr>
        <w:br/>
        <w:t>на сферу или отрасль экономики, с характеристикой их влияния. В качестве х</w:t>
      </w:r>
      <w:r w:rsidRPr="00E46D9B">
        <w:rPr>
          <w:sz w:val="22"/>
          <w:szCs w:val="22"/>
        </w:rPr>
        <w:t>арактеристик</w:t>
      </w:r>
      <w:r>
        <w:rPr>
          <w:sz w:val="22"/>
          <w:szCs w:val="22"/>
        </w:rPr>
        <w:t>и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влияния фактора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указывается «негативное/позитивное»</w:t>
      </w:r>
      <w:r w:rsidRPr="00E46D9B">
        <w:rPr>
          <w:sz w:val="22"/>
          <w:szCs w:val="22"/>
        </w:rPr>
        <w:t>.</w:t>
      </w:r>
    </w:p>
    <w:p w:rsidR="006759B5" w:rsidRDefault="006759B5"/>
    <w:p w:rsidR="00C609DB" w:rsidRPr="00E46D9B" w:rsidRDefault="00C609DB" w:rsidP="00C609DB">
      <w:pPr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46D9B">
        <w:rPr>
          <w:sz w:val="28"/>
          <w:szCs w:val="28"/>
        </w:rPr>
        <w:t xml:space="preserve">. Сведения о </w:t>
      </w:r>
      <w:r>
        <w:rPr>
          <w:sz w:val="28"/>
          <w:szCs w:val="28"/>
        </w:rPr>
        <w:t xml:space="preserve">достижении целевых значений показателей </w:t>
      </w:r>
      <w:r w:rsidRPr="00E46D9B">
        <w:rPr>
          <w:sz w:val="28"/>
          <w:szCs w:val="28"/>
        </w:rPr>
        <w:t xml:space="preserve">за отчетный период </w:t>
      </w:r>
    </w:p>
    <w:tbl>
      <w:tblPr>
        <w:tblStyle w:val="a3"/>
        <w:tblW w:w="9707" w:type="dxa"/>
        <w:tblInd w:w="-34" w:type="dxa"/>
        <w:tblLook w:val="04A0" w:firstRow="1" w:lastRow="0" w:firstColumn="1" w:lastColumn="0" w:noHBand="0" w:noVBand="1"/>
      </w:tblPr>
      <w:tblGrid>
        <w:gridCol w:w="540"/>
        <w:gridCol w:w="3703"/>
        <w:gridCol w:w="1583"/>
        <w:gridCol w:w="979"/>
        <w:gridCol w:w="993"/>
        <w:gridCol w:w="1909"/>
      </w:tblGrid>
      <w:tr w:rsidR="00C609DB" w:rsidRPr="00E46D9B" w:rsidTr="00C609DB">
        <w:trPr>
          <w:trHeight w:val="232"/>
        </w:trPr>
        <w:tc>
          <w:tcPr>
            <w:tcW w:w="540" w:type="dxa"/>
            <w:vMerge w:val="restart"/>
            <w:vAlign w:val="center"/>
          </w:tcPr>
          <w:p w:rsidR="00C609DB" w:rsidRPr="00E46D9B" w:rsidRDefault="00C609DB" w:rsidP="00C609DB">
            <w:pPr>
              <w:jc w:val="center"/>
            </w:pPr>
            <w:r w:rsidRPr="00E46D9B">
              <w:t xml:space="preserve">№ п/п </w:t>
            </w:r>
          </w:p>
        </w:tc>
        <w:tc>
          <w:tcPr>
            <w:tcW w:w="3703" w:type="dxa"/>
            <w:vMerge w:val="restart"/>
            <w:vAlign w:val="center"/>
          </w:tcPr>
          <w:p w:rsidR="00C609DB" w:rsidRPr="00E46D9B" w:rsidRDefault="00C609DB" w:rsidP="00C609DB">
            <w:pPr>
              <w:jc w:val="center"/>
            </w:pPr>
            <w:r w:rsidRPr="00E46D9B">
              <w:t>Показатели отрасли/</w:t>
            </w:r>
            <w:r>
              <w:t>сферы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C609DB" w:rsidRDefault="00C609DB" w:rsidP="00C609DB">
            <w:pPr>
              <w:jc w:val="center"/>
            </w:pPr>
            <w:r w:rsidRPr="00E46D9B">
              <w:t xml:space="preserve">Предыдущий год </w:t>
            </w:r>
          </w:p>
          <w:p w:rsidR="00C609DB" w:rsidRPr="00E46D9B" w:rsidRDefault="00C609DB" w:rsidP="00314AB1">
            <w:pPr>
              <w:jc w:val="center"/>
            </w:pPr>
            <w:r>
              <w:t>201</w:t>
            </w:r>
            <w:r w:rsidR="00314AB1">
              <w:t>8</w:t>
            </w:r>
          </w:p>
        </w:tc>
        <w:tc>
          <w:tcPr>
            <w:tcW w:w="1972" w:type="dxa"/>
            <w:gridSpan w:val="2"/>
          </w:tcPr>
          <w:p w:rsidR="00C609DB" w:rsidRDefault="00C609DB" w:rsidP="00C609DB">
            <w:pPr>
              <w:jc w:val="center"/>
            </w:pPr>
            <w:r>
              <w:t>Отчетный год</w:t>
            </w:r>
          </w:p>
          <w:p w:rsidR="00C609DB" w:rsidRPr="00E46D9B" w:rsidRDefault="00C609DB" w:rsidP="00314AB1">
            <w:pPr>
              <w:jc w:val="center"/>
            </w:pPr>
            <w:r>
              <w:t>201</w:t>
            </w:r>
            <w:r w:rsidR="00314AB1">
              <w:t>9</w:t>
            </w:r>
          </w:p>
        </w:tc>
        <w:tc>
          <w:tcPr>
            <w:tcW w:w="1909" w:type="dxa"/>
            <w:vMerge w:val="restart"/>
            <w:vAlign w:val="center"/>
          </w:tcPr>
          <w:p w:rsidR="00C609DB" w:rsidRPr="00AC1DD4" w:rsidRDefault="00C609DB" w:rsidP="00C609DB">
            <w:pPr>
              <w:ind w:right="47"/>
              <w:jc w:val="center"/>
              <w:rPr>
                <w:vertAlign w:val="superscript"/>
              </w:rPr>
            </w:pPr>
            <w:r>
              <w:t>Характеристика показателя</w:t>
            </w:r>
            <w:r>
              <w:rPr>
                <w:vertAlign w:val="superscript"/>
              </w:rPr>
              <w:t>5</w:t>
            </w:r>
          </w:p>
        </w:tc>
      </w:tr>
      <w:tr w:rsidR="00C609DB" w:rsidRPr="00E46D9B" w:rsidTr="00C609DB">
        <w:trPr>
          <w:trHeight w:val="231"/>
        </w:trPr>
        <w:tc>
          <w:tcPr>
            <w:tcW w:w="540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3703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979" w:type="dxa"/>
          </w:tcPr>
          <w:p w:rsidR="00C609DB" w:rsidRPr="00856C95" w:rsidRDefault="00C609DB" w:rsidP="00C609DB">
            <w:pPr>
              <w:jc w:val="center"/>
              <w:rPr>
                <w:vertAlign w:val="superscript"/>
              </w:rPr>
            </w:pPr>
            <w:r>
              <w:t>План</w:t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dxa"/>
          </w:tcPr>
          <w:p w:rsidR="00C609DB" w:rsidRPr="00E46D9B" w:rsidRDefault="00C609DB" w:rsidP="00C609DB">
            <w:pPr>
              <w:jc w:val="center"/>
            </w:pPr>
            <w:r>
              <w:t>Факт</w:t>
            </w:r>
          </w:p>
        </w:tc>
        <w:tc>
          <w:tcPr>
            <w:tcW w:w="1909" w:type="dxa"/>
            <w:vMerge/>
            <w:vAlign w:val="center"/>
          </w:tcPr>
          <w:p w:rsidR="00C609DB" w:rsidRDefault="00C609DB" w:rsidP="00C609DB">
            <w:pPr>
              <w:ind w:right="47"/>
              <w:jc w:val="center"/>
            </w:pPr>
          </w:p>
        </w:tc>
      </w:tr>
      <w:tr w:rsidR="00271CD9" w:rsidRPr="00E46D9B" w:rsidTr="00314B71">
        <w:tc>
          <w:tcPr>
            <w:tcW w:w="540" w:type="dxa"/>
          </w:tcPr>
          <w:p w:rsidR="00271CD9" w:rsidRPr="00E46D9B" w:rsidRDefault="00271CD9" w:rsidP="00C609DB">
            <w:pPr>
              <w:pStyle w:val="a4"/>
              <w:ind w:left="0"/>
            </w:pPr>
            <w:r>
              <w:t>5</w:t>
            </w:r>
            <w:r w:rsidRPr="00E46D9B">
              <w:t>.1</w:t>
            </w:r>
          </w:p>
        </w:tc>
        <w:tc>
          <w:tcPr>
            <w:tcW w:w="3703" w:type="dxa"/>
          </w:tcPr>
          <w:p w:rsidR="00271CD9" w:rsidRDefault="00271CD9" w:rsidP="00C609DB">
            <w:pPr>
              <w:pStyle w:val="a4"/>
              <w:ind w:left="0"/>
              <w:jc w:val="both"/>
            </w:pPr>
            <w:r w:rsidRPr="00C609DB">
              <w:t>Сред</w:t>
            </w:r>
            <w:r w:rsidR="00A118EB">
              <w:t>негодовой</w:t>
            </w:r>
            <w:r w:rsidRPr="00C609DB">
              <w:t xml:space="preserve"> размер </w:t>
            </w:r>
            <w:r w:rsidR="001158F0">
              <w:t xml:space="preserve">страховой </w:t>
            </w:r>
            <w:r w:rsidR="001158F0" w:rsidRPr="00C609DB">
              <w:t>пенсии</w:t>
            </w:r>
            <w:r w:rsidR="001158F0">
              <w:t xml:space="preserve"> по старости неработающих пенсионеров</w:t>
            </w:r>
            <w:r w:rsidRPr="00C609DB">
              <w:t>, рублей</w:t>
            </w:r>
          </w:p>
          <w:p w:rsidR="00271CD9" w:rsidRPr="00C609DB" w:rsidRDefault="00271CD9" w:rsidP="00C609DB">
            <w:pPr>
              <w:pStyle w:val="a4"/>
              <w:ind w:left="0"/>
              <w:jc w:val="both"/>
            </w:pPr>
          </w:p>
        </w:tc>
        <w:tc>
          <w:tcPr>
            <w:tcW w:w="1583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4F78A7" w:rsidRDefault="00886AD9" w:rsidP="00DA1769">
            <w:pPr>
              <w:pStyle w:val="a4"/>
              <w:ind w:left="0"/>
              <w:jc w:val="center"/>
            </w:pPr>
            <w:r>
              <w:t>14 411</w:t>
            </w:r>
          </w:p>
        </w:tc>
        <w:tc>
          <w:tcPr>
            <w:tcW w:w="979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4F78A7" w:rsidRDefault="00271CD9" w:rsidP="00C609DB">
            <w:pPr>
              <w:pStyle w:val="a4"/>
              <w:ind w:left="0"/>
              <w:jc w:val="center"/>
            </w:pPr>
          </w:p>
        </w:tc>
        <w:tc>
          <w:tcPr>
            <w:tcW w:w="993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4F78A7" w:rsidRDefault="00886AD9" w:rsidP="00DA1769">
            <w:pPr>
              <w:pStyle w:val="a4"/>
              <w:ind w:left="0"/>
              <w:jc w:val="center"/>
            </w:pPr>
            <w:r>
              <w:t>15 477</w:t>
            </w:r>
          </w:p>
        </w:tc>
        <w:tc>
          <w:tcPr>
            <w:tcW w:w="1909" w:type="dxa"/>
          </w:tcPr>
          <w:p w:rsidR="00271CD9" w:rsidRPr="00E46D9B" w:rsidRDefault="00BC5D32" w:rsidP="00314B71">
            <w:pPr>
              <w:pStyle w:val="a4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Pr="00271CD9" w:rsidRDefault="002A7DE8" w:rsidP="00314B71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left:0;text-align:left;margin-left:35.85pt;margin-top:21.05pt;width:1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Pr="00271CD9" w:rsidRDefault="002A7DE8" w:rsidP="00314B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C609D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Каждый показатель указывается в отдельной строке.</w:t>
      </w:r>
    </w:p>
    <w:p w:rsidR="00C609D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C609DB" w:rsidRPr="00E46D9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E46D9B">
        <w:rPr>
          <w:sz w:val="22"/>
          <w:szCs w:val="22"/>
        </w:rPr>
        <w:t>аполняется в соответствии с динамикой относительно предыдущего года</w:t>
      </w:r>
      <w:r>
        <w:rPr>
          <w:sz w:val="22"/>
          <w:szCs w:val="22"/>
        </w:rPr>
        <w:t xml:space="preserve"> (с точки зрения достижения целевого значения показателя)</w:t>
      </w:r>
      <w:r w:rsidRPr="00E46D9B">
        <w:rPr>
          <w:sz w:val="22"/>
          <w:szCs w:val="22"/>
        </w:rPr>
        <w:t xml:space="preserve">: </w:t>
      </w:r>
    </w:p>
    <w:p w:rsidR="00C609DB" w:rsidRPr="00BF3247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32385</wp:posOffset>
                </wp:positionV>
                <wp:extent cx="135890" cy="127000"/>
                <wp:effectExtent l="57150" t="19050" r="35560" b="1016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8C9E2" id="Овал 4" o:spid="_x0000_s1026" style="position:absolute;margin-left:18.9pt;margin-top:2.55pt;width:10.7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AOK5YiQAgAAowUAAA4AAAAAAAAAAAAAAAAALgIAAGRycy9lMm9Eb2MueG1sUEsBAi0A&#10;FAAGAAgAAAAhAKR8+o3bAAAABgEAAA8AAAAAAAAAAAAAAAAA6gQAAGRycy9kb3ducmV2LnhtbFBL&#10;BQYAAAAABAAEAPMAAADyBQAAAAA=&#10;" fillcolor="white [3212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C609DB" w:rsidRPr="006D215D">
        <w:rPr>
          <w:noProof/>
          <w:sz w:val="22"/>
          <w:szCs w:val="22"/>
        </w:rPr>
        <w:t xml:space="preserve">улучшение ситуации </w:t>
      </w:r>
      <w:r w:rsidR="00C609DB">
        <w:rPr>
          <w:noProof/>
          <w:sz w:val="22"/>
          <w:szCs w:val="22"/>
        </w:rPr>
        <w:t xml:space="preserve">в отрасли </w:t>
      </w:r>
      <w:r w:rsidR="00C609DB" w:rsidRPr="006D215D">
        <w:rPr>
          <w:noProof/>
          <w:sz w:val="22"/>
          <w:szCs w:val="22"/>
        </w:rPr>
        <w:t>по сравнению с</w:t>
      </w:r>
      <w:r w:rsidR="00C609DB" w:rsidRPr="00BF3247">
        <w:rPr>
          <w:sz w:val="22"/>
          <w:szCs w:val="22"/>
        </w:rPr>
        <w:t xml:space="preserve"> предыдущим годом</w:t>
      </w:r>
      <w:r w:rsidR="00C609DB">
        <w:rPr>
          <w:sz w:val="22"/>
          <w:szCs w:val="22"/>
        </w:rPr>
        <w:t>;</w:t>
      </w:r>
    </w:p>
    <w:p w:rsidR="00C609DB" w:rsidRPr="00E46D9B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26670</wp:posOffset>
                </wp:positionV>
                <wp:extent cx="135890" cy="127000"/>
                <wp:effectExtent l="13970" t="13335" r="12065" b="3111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01A4F" id="Oval 14" o:spid="_x0000_s1026" style="position:absolute;margin-left:18.8pt;margin-top:2.1pt;width:10.7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" fillcolor="black [3213]" strokecolor="black [3213]">
                <v:fill r:id="rId14" o:title="" color2="white [3212]" type="pattern"/>
                <v:shadow on="t" color="black" opacity="22936f" origin=",.5" offset="0,.63889mm"/>
              </v:oval>
            </w:pict>
          </mc:Fallback>
        </mc:AlternateContent>
      </w:r>
      <w:r w:rsidR="00C609DB">
        <w:rPr>
          <w:sz w:val="22"/>
          <w:szCs w:val="22"/>
        </w:rPr>
        <w:t xml:space="preserve">ситуация не изменилась; </w:t>
      </w:r>
    </w:p>
    <w:p w:rsidR="00C609DB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35890" cy="127000"/>
                <wp:effectExtent l="57150" t="19050" r="35560" b="1016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80E74" id="Овал 2" o:spid="_x0000_s1026" style="position:absolute;margin-left:18.3pt;margin-top:2.05pt;width:10.7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RCvOjQIAAKMFAAAOAAAAAAAAAAAAAAAAAC4CAABkcnMvZTJvRG9jLnhtbFBLAQItABQA&#10;BgAIAAAAIQDeJPBf3AAAAAYBAAAPAAAAAAAAAAAAAAAAAOcEAABkcnMvZG93bnJldi54bWxQSwUG&#10;AAAAAAQABADzAAAA8AUAAAAA&#10;" fillcolor="black [3213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C609DB" w:rsidRPr="001F6979">
        <w:rPr>
          <w:noProof/>
          <w:sz w:val="22"/>
          <w:szCs w:val="22"/>
        </w:rPr>
        <w:t>ухудшение ситуации по сравнению с</w:t>
      </w:r>
      <w:r w:rsidR="00C609DB" w:rsidRPr="001F6979">
        <w:rPr>
          <w:sz w:val="22"/>
          <w:szCs w:val="22"/>
        </w:rPr>
        <w:t xml:space="preserve"> предыдущим годом.</w:t>
      </w:r>
    </w:p>
    <w:p w:rsidR="00FD0CAA" w:rsidRDefault="00FD0CAA" w:rsidP="00FD0CAA">
      <w:pPr>
        <w:contextualSpacing/>
        <w:rPr>
          <w:sz w:val="22"/>
          <w:szCs w:val="22"/>
        </w:rPr>
      </w:pPr>
    </w:p>
    <w:p w:rsidR="00FD0CAA" w:rsidRDefault="00FD0CAA" w:rsidP="00FD0CAA">
      <w:pPr>
        <w:contextualSpacing/>
        <w:rPr>
          <w:sz w:val="22"/>
          <w:szCs w:val="22"/>
        </w:rPr>
      </w:pPr>
    </w:p>
    <w:p w:rsidR="0048681F" w:rsidRDefault="0048681F" w:rsidP="00FD0CAA">
      <w:pPr>
        <w:contextualSpacing/>
        <w:rPr>
          <w:sz w:val="22"/>
          <w:szCs w:val="22"/>
        </w:rPr>
      </w:pPr>
      <w:bookmarkStart w:id="0" w:name="_GoBack"/>
      <w:bookmarkEnd w:id="0"/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46D9B">
        <w:rPr>
          <w:sz w:val="28"/>
          <w:szCs w:val="28"/>
        </w:rPr>
        <w:t>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</w:t>
      </w:r>
      <w:r>
        <w:rPr>
          <w:sz w:val="28"/>
          <w:szCs w:val="28"/>
        </w:rPr>
        <w:t xml:space="preserve"> стратегического планирования</w:t>
      </w:r>
    </w:p>
    <w:tbl>
      <w:tblPr>
        <w:tblStyle w:val="a3"/>
        <w:tblW w:w="97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444"/>
      </w:tblGrid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 w:rsidRPr="00E46D9B">
              <w:t>№ п/п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 w:rsidRPr="00E46D9B">
              <w:t>Наименование государственной программы Российской Федерации</w:t>
            </w:r>
            <w:r>
              <w:t xml:space="preserve"> (госпрограммы), федеральной целевой программы (ФЦП) либо</w:t>
            </w:r>
            <w:r>
              <w:br/>
              <w:t>их составляющих</w:t>
            </w:r>
            <w:r>
              <w:rPr>
                <w:vertAlign w:val="superscript"/>
              </w:rPr>
              <w:t>6</w:t>
            </w:r>
          </w:p>
        </w:tc>
        <w:tc>
          <w:tcPr>
            <w:tcW w:w="3444" w:type="dxa"/>
          </w:tcPr>
          <w:p w:rsidR="00FD0CAA" w:rsidRPr="00E46D9B" w:rsidRDefault="00FD0CAA" w:rsidP="00FD0CAA">
            <w:pPr>
              <w:jc w:val="center"/>
            </w:pPr>
            <w:r w:rsidRPr="00E46D9B">
              <w:t>Объем бюджетных ассигнований, выделенных</w:t>
            </w:r>
            <w:r>
              <w:br/>
            </w:r>
            <w:r w:rsidRPr="00E46D9B">
              <w:t>в отчетном году</w:t>
            </w:r>
            <w:r>
              <w:t xml:space="preserve"> на реализацию отраслевого документа стратегического планирования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>
              <w:t>2</w:t>
            </w:r>
          </w:p>
        </w:tc>
        <w:tc>
          <w:tcPr>
            <w:tcW w:w="3444" w:type="dxa"/>
          </w:tcPr>
          <w:p w:rsidR="00FD0CAA" w:rsidRPr="00E46D9B" w:rsidRDefault="00FD0CAA" w:rsidP="00FD0CAA">
            <w:pPr>
              <w:jc w:val="center"/>
            </w:pPr>
            <w:r>
              <w:t>3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госпрограммы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7B478E" w:rsidRPr="00E46D9B" w:rsidRDefault="00FD0CAA" w:rsidP="007B478E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647769" w:rsidRDefault="00647769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подпрограммы/ФЦП госпрограммы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D0CAA" w:rsidRPr="00E46D9B" w:rsidRDefault="00FD0CAA" w:rsidP="00FD0CAA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647769" w:rsidRDefault="00647769" w:rsidP="00FD0CAA">
            <w:pPr>
              <w:jc w:val="center"/>
            </w:pPr>
          </w:p>
          <w:p w:rsidR="00647769" w:rsidRDefault="00647769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6.1.1.1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основного мероприятия подпрограммы госпрограммы/мероприятия в рамках ФЦП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D0CAA" w:rsidRPr="00E46D9B" w:rsidRDefault="00FD0CAA" w:rsidP="00FD0CAA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48681F" w:rsidRDefault="0048681F" w:rsidP="00FD0CAA">
            <w:pPr>
              <w:jc w:val="center"/>
            </w:pPr>
          </w:p>
          <w:p w:rsidR="0048681F" w:rsidRDefault="0048681F" w:rsidP="00FD0CAA">
            <w:pPr>
              <w:jc w:val="center"/>
            </w:pPr>
          </w:p>
          <w:p w:rsidR="0048681F" w:rsidRDefault="0048681F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</w:tbl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6 </w:t>
      </w:r>
      <w:r>
        <w:rPr>
          <w:sz w:val="22"/>
          <w:szCs w:val="22"/>
        </w:rPr>
        <w:t xml:space="preserve">Указываются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FD0CAA" w:rsidRPr="00E46D9B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46D9B">
        <w:rPr>
          <w:sz w:val="28"/>
          <w:szCs w:val="28"/>
        </w:rPr>
        <w:t>. Данные об объемах привлеченного внебюджетного финансирования,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</w:t>
      </w:r>
      <w:r>
        <w:rPr>
          <w:sz w:val="28"/>
          <w:szCs w:val="28"/>
        </w:rPr>
        <w:t xml:space="preserve"> стратегического планирования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7"/>
        <w:gridCol w:w="1985"/>
        <w:gridCol w:w="2126"/>
      </w:tblGrid>
      <w:tr w:rsidR="00FD0CAA" w:rsidRPr="00E46D9B" w:rsidTr="00FD0CAA">
        <w:tc>
          <w:tcPr>
            <w:tcW w:w="959" w:type="dxa"/>
          </w:tcPr>
          <w:p w:rsidR="00FD0CAA" w:rsidRPr="00E46D9B" w:rsidRDefault="00FD0CAA" w:rsidP="00FD0CAA">
            <w:pPr>
              <w:jc w:val="center"/>
            </w:pPr>
            <w:r w:rsidRPr="00E46D9B">
              <w:t>№ п/п</w:t>
            </w:r>
          </w:p>
        </w:tc>
        <w:tc>
          <w:tcPr>
            <w:tcW w:w="4677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 w:rsidRPr="00E46D9B">
              <w:t xml:space="preserve">Наименование направления </w:t>
            </w:r>
          </w:p>
        </w:tc>
        <w:tc>
          <w:tcPr>
            <w:tcW w:w="1985" w:type="dxa"/>
          </w:tcPr>
          <w:p w:rsidR="00FD0CAA" w:rsidRPr="00E46D9B" w:rsidRDefault="00FD0CAA" w:rsidP="00FD0CAA">
            <w:pPr>
              <w:jc w:val="center"/>
            </w:pPr>
            <w:r w:rsidRPr="00E46D9B">
              <w:t>Объем внебюджетн</w:t>
            </w:r>
            <w:r>
              <w:t>ого</w:t>
            </w:r>
            <w:r w:rsidRPr="00E46D9B">
              <w:t xml:space="preserve"> </w:t>
            </w:r>
            <w:r>
              <w:t>финансирования</w:t>
            </w:r>
          </w:p>
        </w:tc>
        <w:tc>
          <w:tcPr>
            <w:tcW w:w="2126" w:type="dxa"/>
            <w:vAlign w:val="center"/>
          </w:tcPr>
          <w:p w:rsidR="00FD0CAA" w:rsidRPr="00C54F8E" w:rsidRDefault="00FD0CAA" w:rsidP="00FD0CAA">
            <w:pPr>
              <w:jc w:val="center"/>
              <w:rPr>
                <w:vertAlign w:val="superscript"/>
              </w:rPr>
            </w:pPr>
            <w:r>
              <w:t>Источник информации</w:t>
            </w:r>
            <w:r>
              <w:rPr>
                <w:vertAlign w:val="superscript"/>
              </w:rPr>
              <w:t>7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Pr="00E46D9B" w:rsidRDefault="00FD0CAA" w:rsidP="00FD0CAA">
            <w:r>
              <w:t>7</w:t>
            </w:r>
            <w:r w:rsidRPr="00E46D9B">
              <w:t>.1</w:t>
            </w:r>
          </w:p>
        </w:tc>
        <w:tc>
          <w:tcPr>
            <w:tcW w:w="4677" w:type="dxa"/>
            <w:vAlign w:val="center"/>
          </w:tcPr>
          <w:p w:rsidR="00FD0CAA" w:rsidRPr="00E46D9B" w:rsidRDefault="00FD0CAA" w:rsidP="00FD0CAA">
            <w:pPr>
              <w:ind w:left="175" w:right="20" w:firstLine="1"/>
              <w:jc w:val="both"/>
            </w:pPr>
            <w:r>
              <w:t>Внебюджетные средства в рамках государственных программ Российской Федерации</w:t>
            </w:r>
            <w:r w:rsidRPr="00E46D9B">
              <w:t xml:space="preserve"> 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175" w:right="20" w:firstLine="1"/>
              <w:jc w:val="both"/>
            </w:pPr>
            <w:r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7.2.1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Федеральном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7.2.2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Региональном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7.2.3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Муниципальном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7.3</w:t>
            </w:r>
          </w:p>
        </w:tc>
        <w:tc>
          <w:tcPr>
            <w:tcW w:w="4677" w:type="dxa"/>
            <w:vAlign w:val="center"/>
          </w:tcPr>
          <w:p w:rsidR="00FD0CAA" w:rsidRPr="00305AAB" w:rsidRDefault="00FD0CAA" w:rsidP="00FD0CAA">
            <w:pPr>
              <w:ind w:left="34" w:right="20" w:firstLine="142"/>
              <w:jc w:val="both"/>
              <w:rPr>
                <w:vertAlign w:val="superscript"/>
              </w:rPr>
            </w:pPr>
            <w:r>
              <w:t>Внебюджетные инвестиции</w:t>
            </w:r>
            <w:r>
              <w:rPr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</w:tbl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E46D9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8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315474" w:rsidRDefault="00315474"/>
    <w:sectPr w:rsidR="00315474" w:rsidSect="00AF532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91" w:rsidRDefault="00196D91" w:rsidP="00AD04C9">
      <w:r>
        <w:separator/>
      </w:r>
    </w:p>
  </w:endnote>
  <w:endnote w:type="continuationSeparator" w:id="0">
    <w:p w:rsidR="00196D91" w:rsidRDefault="00196D91" w:rsidP="00A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91" w:rsidRDefault="00196D91" w:rsidP="00AD04C9">
      <w:r>
        <w:separator/>
      </w:r>
    </w:p>
  </w:footnote>
  <w:footnote w:type="continuationSeparator" w:id="0">
    <w:p w:rsidR="00196D91" w:rsidRDefault="00196D91" w:rsidP="00AD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94970"/>
      <w:docPartObj>
        <w:docPartGallery w:val="Page Numbers (Top of Page)"/>
        <w:docPartUnique/>
      </w:docPartObj>
    </w:sdtPr>
    <w:sdtEndPr/>
    <w:sdtContent>
      <w:p w:rsidR="002A7DE8" w:rsidRDefault="0019653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58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7DE8" w:rsidRDefault="002A7D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92D2356"/>
    <w:multiLevelType w:val="hybridMultilevel"/>
    <w:tmpl w:val="A3D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6"/>
    <w:rsid w:val="000005B4"/>
    <w:rsid w:val="000241A9"/>
    <w:rsid w:val="00041F28"/>
    <w:rsid w:val="00066530"/>
    <w:rsid w:val="000720BE"/>
    <w:rsid w:val="000B20D0"/>
    <w:rsid w:val="000C0683"/>
    <w:rsid w:val="000C549A"/>
    <w:rsid w:val="000D295F"/>
    <w:rsid w:val="000D673B"/>
    <w:rsid w:val="0010716C"/>
    <w:rsid w:val="001158F0"/>
    <w:rsid w:val="0013377F"/>
    <w:rsid w:val="0014207A"/>
    <w:rsid w:val="00172BF8"/>
    <w:rsid w:val="001833E1"/>
    <w:rsid w:val="00196538"/>
    <w:rsid w:val="00196D91"/>
    <w:rsid w:val="001C3FEA"/>
    <w:rsid w:val="001C47DA"/>
    <w:rsid w:val="001E33D0"/>
    <w:rsid w:val="00230395"/>
    <w:rsid w:val="00263E09"/>
    <w:rsid w:val="00271CD9"/>
    <w:rsid w:val="00277384"/>
    <w:rsid w:val="0027764D"/>
    <w:rsid w:val="002A7DE8"/>
    <w:rsid w:val="002D3DA6"/>
    <w:rsid w:val="002F0B19"/>
    <w:rsid w:val="002F34BE"/>
    <w:rsid w:val="00304897"/>
    <w:rsid w:val="00304A27"/>
    <w:rsid w:val="0031268D"/>
    <w:rsid w:val="00314AB1"/>
    <w:rsid w:val="00314B71"/>
    <w:rsid w:val="00315474"/>
    <w:rsid w:val="00321EF7"/>
    <w:rsid w:val="003355ED"/>
    <w:rsid w:val="00354CC3"/>
    <w:rsid w:val="00354EEC"/>
    <w:rsid w:val="003744BF"/>
    <w:rsid w:val="00396278"/>
    <w:rsid w:val="003A5B27"/>
    <w:rsid w:val="003B1C37"/>
    <w:rsid w:val="003C6584"/>
    <w:rsid w:val="003F3406"/>
    <w:rsid w:val="003F4A82"/>
    <w:rsid w:val="00410100"/>
    <w:rsid w:val="004159B8"/>
    <w:rsid w:val="00431F0F"/>
    <w:rsid w:val="0044365D"/>
    <w:rsid w:val="004454D9"/>
    <w:rsid w:val="0048681F"/>
    <w:rsid w:val="00491357"/>
    <w:rsid w:val="004957FA"/>
    <w:rsid w:val="004973D5"/>
    <w:rsid w:val="004A7C04"/>
    <w:rsid w:val="004B6914"/>
    <w:rsid w:val="004E128B"/>
    <w:rsid w:val="004F78A7"/>
    <w:rsid w:val="00523001"/>
    <w:rsid w:val="00532534"/>
    <w:rsid w:val="005610FB"/>
    <w:rsid w:val="0057533A"/>
    <w:rsid w:val="00580353"/>
    <w:rsid w:val="00596146"/>
    <w:rsid w:val="005A1D87"/>
    <w:rsid w:val="005B42B5"/>
    <w:rsid w:val="005E317F"/>
    <w:rsid w:val="00606A6C"/>
    <w:rsid w:val="00620C65"/>
    <w:rsid w:val="00627BCB"/>
    <w:rsid w:val="0064508B"/>
    <w:rsid w:val="00647769"/>
    <w:rsid w:val="006759B5"/>
    <w:rsid w:val="00675EF7"/>
    <w:rsid w:val="006B478C"/>
    <w:rsid w:val="006B4EF1"/>
    <w:rsid w:val="006B7386"/>
    <w:rsid w:val="006C35A7"/>
    <w:rsid w:val="006D26B3"/>
    <w:rsid w:val="006E431F"/>
    <w:rsid w:val="00704FF7"/>
    <w:rsid w:val="007174AF"/>
    <w:rsid w:val="00752237"/>
    <w:rsid w:val="00767A72"/>
    <w:rsid w:val="00771535"/>
    <w:rsid w:val="00777028"/>
    <w:rsid w:val="00784EDA"/>
    <w:rsid w:val="007A1B12"/>
    <w:rsid w:val="007B478E"/>
    <w:rsid w:val="00801E71"/>
    <w:rsid w:val="0081459E"/>
    <w:rsid w:val="00843748"/>
    <w:rsid w:val="00853358"/>
    <w:rsid w:val="008833CA"/>
    <w:rsid w:val="00886AD9"/>
    <w:rsid w:val="00917B77"/>
    <w:rsid w:val="00942BAE"/>
    <w:rsid w:val="00966CB6"/>
    <w:rsid w:val="00983F8B"/>
    <w:rsid w:val="00985AAF"/>
    <w:rsid w:val="009D5B14"/>
    <w:rsid w:val="009F698B"/>
    <w:rsid w:val="00A118EB"/>
    <w:rsid w:val="00A672D5"/>
    <w:rsid w:val="00A73359"/>
    <w:rsid w:val="00A86D2F"/>
    <w:rsid w:val="00AD04C9"/>
    <w:rsid w:val="00AD24AE"/>
    <w:rsid w:val="00AD7348"/>
    <w:rsid w:val="00AE09D3"/>
    <w:rsid w:val="00AF5323"/>
    <w:rsid w:val="00B129F0"/>
    <w:rsid w:val="00B214B9"/>
    <w:rsid w:val="00B22BF6"/>
    <w:rsid w:val="00B4150D"/>
    <w:rsid w:val="00B674F6"/>
    <w:rsid w:val="00B914CA"/>
    <w:rsid w:val="00BA2FF6"/>
    <w:rsid w:val="00BA5690"/>
    <w:rsid w:val="00BB2197"/>
    <w:rsid w:val="00BB2D16"/>
    <w:rsid w:val="00BC1F17"/>
    <w:rsid w:val="00BC5D32"/>
    <w:rsid w:val="00BE2F13"/>
    <w:rsid w:val="00C31B13"/>
    <w:rsid w:val="00C609DB"/>
    <w:rsid w:val="00C61C86"/>
    <w:rsid w:val="00CA03F6"/>
    <w:rsid w:val="00CB227C"/>
    <w:rsid w:val="00CD478C"/>
    <w:rsid w:val="00CD4C89"/>
    <w:rsid w:val="00CE57F5"/>
    <w:rsid w:val="00D0091D"/>
    <w:rsid w:val="00D109A9"/>
    <w:rsid w:val="00D10A00"/>
    <w:rsid w:val="00D10A81"/>
    <w:rsid w:val="00D74E36"/>
    <w:rsid w:val="00D92ABC"/>
    <w:rsid w:val="00DA1769"/>
    <w:rsid w:val="00DB3614"/>
    <w:rsid w:val="00E02A44"/>
    <w:rsid w:val="00E05246"/>
    <w:rsid w:val="00E05DA6"/>
    <w:rsid w:val="00E10A8E"/>
    <w:rsid w:val="00E63008"/>
    <w:rsid w:val="00E71E08"/>
    <w:rsid w:val="00E90DAB"/>
    <w:rsid w:val="00E92AA6"/>
    <w:rsid w:val="00EB4CB9"/>
    <w:rsid w:val="00EF2497"/>
    <w:rsid w:val="00F00490"/>
    <w:rsid w:val="00F3522B"/>
    <w:rsid w:val="00F408B8"/>
    <w:rsid w:val="00F635B8"/>
    <w:rsid w:val="00F67952"/>
    <w:rsid w:val="00FA5A0F"/>
    <w:rsid w:val="00FA7A02"/>
    <w:rsid w:val="00FD0CAA"/>
    <w:rsid w:val="00FD1CC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8310-7811-41DE-9BC8-BB522412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7386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6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D04C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D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D04C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355E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355E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44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44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44B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495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273A95FB9A6BCEEB04A6AE63B3F942B14B2584CB2DB0C26309029DB4D5A74369BE541D9EEA642G7v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176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273A95FB9A6BCEEB04A6AE63B3F942B14B2584CB2DB0C26309029DB4D5A74369BE541D9EEA642G7v8M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DDBA-B7AA-47E8-A904-93D4B19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Брыскина Любовь Николаевна</cp:lastModifiedBy>
  <cp:revision>6</cp:revision>
  <cp:lastPrinted>2017-09-11T14:40:00Z</cp:lastPrinted>
  <dcterms:created xsi:type="dcterms:W3CDTF">2020-07-07T11:34:00Z</dcterms:created>
  <dcterms:modified xsi:type="dcterms:W3CDTF">2020-07-08T07:46:00Z</dcterms:modified>
</cp:coreProperties>
</file>