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13" w:rsidRPr="004B6914" w:rsidRDefault="00CE57F5" w:rsidP="00C31B13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="00C31B13" w:rsidRPr="004B6914">
        <w:rPr>
          <w:b/>
          <w:sz w:val="28"/>
          <w:szCs w:val="28"/>
        </w:rPr>
        <w:t xml:space="preserve"> Министерства труда и социальной защиты </w:t>
      </w:r>
    </w:p>
    <w:p w:rsidR="00C31B13" w:rsidRPr="004B6914" w:rsidRDefault="00C31B13" w:rsidP="00C31B13">
      <w:pPr>
        <w:pStyle w:val="a4"/>
        <w:ind w:left="0"/>
        <w:jc w:val="center"/>
        <w:rPr>
          <w:b/>
          <w:sz w:val="28"/>
          <w:szCs w:val="28"/>
        </w:rPr>
      </w:pPr>
      <w:r w:rsidRPr="004B6914">
        <w:rPr>
          <w:b/>
          <w:sz w:val="28"/>
          <w:szCs w:val="28"/>
        </w:rPr>
        <w:t>Российской Федерации о реализации отраслевых</w:t>
      </w:r>
    </w:p>
    <w:p w:rsidR="006B7386" w:rsidRPr="004B6914" w:rsidRDefault="00C31B13" w:rsidP="00C31B13">
      <w:pPr>
        <w:pStyle w:val="a4"/>
        <w:ind w:left="0"/>
        <w:jc w:val="center"/>
        <w:rPr>
          <w:b/>
          <w:sz w:val="28"/>
          <w:szCs w:val="28"/>
        </w:rPr>
      </w:pPr>
      <w:r w:rsidRPr="004B6914">
        <w:rPr>
          <w:b/>
          <w:sz w:val="28"/>
          <w:szCs w:val="28"/>
        </w:rPr>
        <w:t>документов стратегического планирования</w:t>
      </w:r>
      <w:r w:rsidR="004B6914" w:rsidRPr="004B6914">
        <w:rPr>
          <w:b/>
          <w:sz w:val="28"/>
          <w:szCs w:val="28"/>
        </w:rPr>
        <w:t xml:space="preserve"> </w:t>
      </w:r>
    </w:p>
    <w:p w:rsidR="006B7386" w:rsidRDefault="006B7386" w:rsidP="006B7386">
      <w:pPr>
        <w:pStyle w:val="a4"/>
        <w:ind w:left="0"/>
        <w:jc w:val="center"/>
        <w:rPr>
          <w:sz w:val="28"/>
          <w:szCs w:val="28"/>
        </w:rPr>
      </w:pPr>
    </w:p>
    <w:p w:rsidR="00E71E08" w:rsidRDefault="0064696A" w:rsidP="00D009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r:id="rId8" w:history="1">
        <w:r w:rsidR="00D0091D" w:rsidRPr="00D0091D">
          <w:rPr>
            <w:b/>
            <w:sz w:val="28"/>
            <w:szCs w:val="28"/>
          </w:rPr>
          <w:t>Стратеги</w:t>
        </w:r>
      </w:hyperlink>
      <w:r w:rsidR="00D0091D" w:rsidRPr="00D0091D">
        <w:rPr>
          <w:b/>
          <w:sz w:val="28"/>
          <w:szCs w:val="28"/>
        </w:rPr>
        <w:t xml:space="preserve">я долгосрочного развития пенсионной </w:t>
      </w:r>
    </w:p>
    <w:p w:rsidR="00D0091D" w:rsidRPr="00D0091D" w:rsidRDefault="00D0091D" w:rsidP="00D0091D">
      <w:pPr>
        <w:autoSpaceDE w:val="0"/>
        <w:autoSpaceDN w:val="0"/>
        <w:adjustRightInd w:val="0"/>
        <w:ind w:firstLine="540"/>
        <w:jc w:val="center"/>
        <w:rPr>
          <w:b/>
          <w:color w:val="FFFFFF" w:themeColor="background1"/>
          <w:sz w:val="28"/>
          <w:szCs w:val="28"/>
          <w:u w:val="single"/>
        </w:rPr>
      </w:pPr>
      <w:r w:rsidRPr="00D0091D">
        <w:rPr>
          <w:b/>
          <w:sz w:val="28"/>
          <w:szCs w:val="28"/>
        </w:rPr>
        <w:t>системы Российской Федерации</w:t>
      </w:r>
      <w:r>
        <w:rPr>
          <w:b/>
          <w:sz w:val="28"/>
          <w:szCs w:val="28"/>
        </w:rPr>
        <w:t>.</w:t>
      </w:r>
    </w:p>
    <w:p w:rsidR="00D0091D" w:rsidRPr="00D0091D" w:rsidRDefault="00D0091D" w:rsidP="00D0091D">
      <w:pPr>
        <w:pStyle w:val="a4"/>
        <w:ind w:left="0"/>
        <w:jc w:val="both"/>
        <w:rPr>
          <w:sz w:val="28"/>
          <w:szCs w:val="28"/>
        </w:rPr>
      </w:pPr>
    </w:p>
    <w:p w:rsidR="00DB3614" w:rsidRPr="00E46D9B" w:rsidRDefault="00DB3614" w:rsidP="00DB3614">
      <w:pPr>
        <w:pStyle w:val="a4"/>
        <w:ind w:left="0"/>
        <w:jc w:val="center"/>
        <w:rPr>
          <w:sz w:val="28"/>
          <w:szCs w:val="28"/>
        </w:rPr>
      </w:pPr>
      <w:r w:rsidRPr="00E46D9B">
        <w:rPr>
          <w:sz w:val="28"/>
          <w:szCs w:val="28"/>
        </w:rPr>
        <w:t>1. Общая информация об отраслевом документе стратегического планирования Российской Федерации по вопросам, находящимся в ведении Правительства Российской Федерации (далее – отраслевой документ стратегического планирования)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8540"/>
      </w:tblGrid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№ п/п</w:t>
            </w:r>
          </w:p>
        </w:tc>
        <w:tc>
          <w:tcPr>
            <w:tcW w:w="8822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>Содержание раздела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1.1</w:t>
            </w:r>
          </w:p>
        </w:tc>
        <w:tc>
          <w:tcPr>
            <w:tcW w:w="8822" w:type="dxa"/>
            <w:vAlign w:val="center"/>
          </w:tcPr>
          <w:p w:rsidR="0027764D" w:rsidRDefault="00DB3614" w:rsidP="0027764D">
            <w:pPr>
              <w:jc w:val="center"/>
            </w:pPr>
            <w:r w:rsidRPr="00E46D9B">
              <w:rPr>
                <w:color w:val="FFFFFF" w:themeColor="background1"/>
              </w:rPr>
              <w:t>1</w:t>
            </w:r>
            <w:r>
              <w:t xml:space="preserve"> </w:t>
            </w:r>
            <w:r w:rsidR="0027764D" w:rsidRPr="00E46D9B">
              <w:t>Наименование отраслевого документа стратегического планирования:</w:t>
            </w:r>
          </w:p>
          <w:p w:rsidR="00230395" w:rsidRPr="00505724" w:rsidRDefault="00230395" w:rsidP="0027764D">
            <w:pPr>
              <w:jc w:val="center"/>
              <w:rPr>
                <w:sz w:val="16"/>
                <w:szCs w:val="16"/>
              </w:rPr>
            </w:pPr>
          </w:p>
          <w:p w:rsidR="00230395" w:rsidRDefault="0027764D" w:rsidP="00230395">
            <w:pPr>
              <w:autoSpaceDE w:val="0"/>
              <w:autoSpaceDN w:val="0"/>
              <w:adjustRightInd w:val="0"/>
              <w:ind w:firstLine="37"/>
              <w:jc w:val="center"/>
              <w:rPr>
                <w:u w:val="single"/>
              </w:rPr>
            </w:pPr>
            <w:r w:rsidRPr="00230395">
              <w:rPr>
                <w:color w:val="FFFFFF" w:themeColor="background1"/>
                <w:u w:val="single"/>
              </w:rPr>
              <w:t>1</w:t>
            </w:r>
            <w:hyperlink r:id="rId9" w:history="1">
              <w:r w:rsidRPr="006A26A1">
                <w:t>Стратеги</w:t>
              </w:r>
            </w:hyperlink>
            <w:r w:rsidRPr="006A26A1">
              <w:t>я долгосрочного развития пенсионной</w:t>
            </w:r>
          </w:p>
          <w:p w:rsidR="0027764D" w:rsidRPr="00230395" w:rsidRDefault="0027764D" w:rsidP="00230395">
            <w:pPr>
              <w:autoSpaceDE w:val="0"/>
              <w:autoSpaceDN w:val="0"/>
              <w:adjustRightInd w:val="0"/>
              <w:ind w:firstLine="37"/>
              <w:jc w:val="center"/>
              <w:rPr>
                <w:color w:val="FFFFFF" w:themeColor="background1"/>
                <w:u w:val="single"/>
              </w:rPr>
            </w:pPr>
            <w:r w:rsidRPr="00230395">
              <w:rPr>
                <w:u w:val="single"/>
              </w:rPr>
              <w:t>системы Российской Федерации</w:t>
            </w:r>
            <w:r w:rsidRPr="00230395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27764D" w:rsidP="00230395">
            <w:pPr>
              <w:autoSpaceDE w:val="0"/>
              <w:autoSpaceDN w:val="0"/>
              <w:adjustRightInd w:val="0"/>
              <w:ind w:firstLine="540"/>
              <w:jc w:val="center"/>
            </w:pPr>
            <w:r w:rsidRPr="00E46D9B">
              <w:t>(указывается наименование)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1.2</w:t>
            </w:r>
          </w:p>
        </w:tc>
        <w:tc>
          <w:tcPr>
            <w:tcW w:w="8822" w:type="dxa"/>
            <w:vAlign w:val="center"/>
          </w:tcPr>
          <w:p w:rsidR="00EB4CB9" w:rsidRDefault="00EB4CB9" w:rsidP="00EB4CB9">
            <w:pPr>
              <w:jc w:val="center"/>
            </w:pPr>
            <w:r w:rsidRPr="00E46D9B">
              <w:t>Реквизиты акта, которым утвержден отраслевой документ стратегического планирования:</w:t>
            </w:r>
          </w:p>
          <w:p w:rsidR="00704FF7" w:rsidRDefault="00704FF7" w:rsidP="00EB4CB9">
            <w:pPr>
              <w:jc w:val="center"/>
            </w:pPr>
          </w:p>
          <w:p w:rsidR="00EB4CB9" w:rsidRPr="006A26A1" w:rsidRDefault="00704FF7" w:rsidP="00EB4CB9">
            <w:pPr>
              <w:autoSpaceDE w:val="0"/>
              <w:autoSpaceDN w:val="0"/>
              <w:adjustRightInd w:val="0"/>
              <w:jc w:val="center"/>
              <w:outlineLvl w:val="0"/>
            </w:pPr>
            <w:r w:rsidRPr="006A26A1">
              <w:t>Р</w:t>
            </w:r>
            <w:r w:rsidR="00EB4CB9" w:rsidRPr="006A26A1">
              <w:t>аспоряжение Правительства Российской Федерации</w:t>
            </w:r>
          </w:p>
          <w:p w:rsidR="00EB4CB9" w:rsidRPr="00EB4CB9" w:rsidRDefault="00EB4CB9" w:rsidP="00EB4CB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B4CB9">
              <w:rPr>
                <w:u w:val="single"/>
              </w:rPr>
              <w:t xml:space="preserve">от 25 декабря 2012 г. </w:t>
            </w:r>
            <w:r w:rsidR="000005B4">
              <w:rPr>
                <w:u w:val="single"/>
              </w:rPr>
              <w:t>№</w:t>
            </w:r>
            <w:r w:rsidRPr="00EB4CB9">
              <w:rPr>
                <w:u w:val="single"/>
              </w:rPr>
              <w:t xml:space="preserve"> 2524-р</w:t>
            </w:r>
          </w:p>
          <w:p w:rsidR="00DB3614" w:rsidRPr="00E46D9B" w:rsidRDefault="00EB4CB9" w:rsidP="00EB4CB9">
            <w:pPr>
              <w:autoSpaceDE w:val="0"/>
              <w:autoSpaceDN w:val="0"/>
              <w:adjustRightInd w:val="0"/>
              <w:jc w:val="center"/>
              <w:outlineLvl w:val="0"/>
            </w:pPr>
            <w:r w:rsidRPr="00E46D9B">
              <w:t>(указываются полное название, номер и дата акта)</w:t>
            </w:r>
            <w:r w:rsidRPr="00E46D9B">
              <w:rPr>
                <w:color w:val="FFFFFF" w:themeColor="background1"/>
              </w:rPr>
              <w:t xml:space="preserve"> </w:t>
            </w:r>
            <w:r w:rsidR="00DB3614" w:rsidRPr="00E46D9B">
              <w:rPr>
                <w:color w:val="FFFFFF" w:themeColor="background1"/>
              </w:rPr>
              <w:t>1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1.3</w:t>
            </w:r>
          </w:p>
        </w:tc>
        <w:tc>
          <w:tcPr>
            <w:tcW w:w="8822" w:type="dxa"/>
            <w:vAlign w:val="center"/>
          </w:tcPr>
          <w:p w:rsidR="00DB3614" w:rsidRPr="00E46D9B" w:rsidRDefault="00DB3614" w:rsidP="00DB3614">
            <w:pPr>
              <w:jc w:val="center"/>
            </w:pPr>
            <w:r w:rsidRPr="00E46D9B">
              <w:t>Федеральный орган исполнительной власти (далее – разработчик):</w:t>
            </w:r>
          </w:p>
          <w:p w:rsidR="00304A27" w:rsidRPr="00304A27" w:rsidRDefault="00DB3614" w:rsidP="00DB3614">
            <w:pPr>
              <w:jc w:val="center"/>
              <w:rPr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 xml:space="preserve">Минсиетсов труда и социальной защиты Российской Федерации </w:t>
            </w:r>
            <w:r w:rsidRPr="00E46D9B">
              <w:rPr>
                <w:u w:val="single"/>
              </w:rPr>
              <w:t xml:space="preserve">                                                                                  </w:t>
            </w:r>
            <w:r>
              <w:rPr>
                <w:u w:val="single"/>
              </w:rPr>
              <w:t xml:space="preserve">                               </w:t>
            </w:r>
            <w:r w:rsidRPr="00304A27">
              <w:rPr>
                <w:u w:val="single"/>
              </w:rPr>
              <w:t xml:space="preserve">Министерство труда и социальной защиты Российской Федерации </w:t>
            </w:r>
          </w:p>
          <w:p w:rsidR="00DB3614" w:rsidRPr="00E46D9B" w:rsidRDefault="00DB3614" w:rsidP="00DB3614">
            <w:pPr>
              <w:jc w:val="center"/>
            </w:pPr>
            <w:r w:rsidRPr="00304A27">
              <w:rPr>
                <w:u w:val="single"/>
              </w:rPr>
              <w:t>(Минтруд России)</w:t>
            </w:r>
            <w:r w:rsidRPr="00304A27">
              <w:rPr>
                <w:color w:val="FFFFFF" w:themeColor="background1"/>
                <w:u w:val="single"/>
              </w:rPr>
              <w:t>1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1.4</w:t>
            </w:r>
          </w:p>
        </w:tc>
        <w:tc>
          <w:tcPr>
            <w:tcW w:w="8822" w:type="dxa"/>
            <w:vAlign w:val="center"/>
          </w:tcPr>
          <w:p w:rsidR="00DB3614" w:rsidRPr="00E46D9B" w:rsidRDefault="00DB3614" w:rsidP="00DB3614">
            <w:pPr>
              <w:jc w:val="center"/>
            </w:pPr>
            <w:r w:rsidRPr="00E46D9B">
              <w:t>Федеральные органы исполнительной власти – соисполнители: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(указываются полное и краткое наименования)</w:t>
            </w:r>
          </w:p>
        </w:tc>
      </w:tr>
      <w:tr w:rsidR="00DB3614" w:rsidRPr="00E46D9B" w:rsidTr="00DB3614">
        <w:trPr>
          <w:jc w:val="center"/>
        </w:trPr>
        <w:tc>
          <w:tcPr>
            <w:tcW w:w="817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1.5</w:t>
            </w:r>
          </w:p>
        </w:tc>
        <w:tc>
          <w:tcPr>
            <w:tcW w:w="8822" w:type="dxa"/>
            <w:vAlign w:val="center"/>
          </w:tcPr>
          <w:p w:rsidR="00DB3614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>
              <w:t>Отчетный г</w:t>
            </w:r>
            <w:r w:rsidRPr="00E46D9B">
              <w:t>од, за который представляется доклад о реализации отраслевого документа стратегического планирования:</w:t>
            </w:r>
            <w:r>
              <w:t xml:space="preserve"> </w:t>
            </w:r>
            <w:r w:rsidRPr="00E46D9B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20162201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704FF7" w:rsidRDefault="00DB3614" w:rsidP="00163000">
            <w:pPr>
              <w:jc w:val="center"/>
              <w:rPr>
                <w:u w:val="single"/>
              </w:rPr>
            </w:pPr>
            <w:r w:rsidRPr="00704FF7">
              <w:rPr>
                <w:u w:val="single"/>
              </w:rPr>
              <w:t>20</w:t>
            </w:r>
            <w:r w:rsidR="00502DD7">
              <w:rPr>
                <w:u w:val="single"/>
              </w:rPr>
              <w:t>2</w:t>
            </w:r>
            <w:r w:rsidR="00163000">
              <w:rPr>
                <w:u w:val="single"/>
              </w:rPr>
              <w:t>1</w:t>
            </w:r>
            <w:r w:rsidRPr="00704FF7">
              <w:rPr>
                <w:u w:val="single"/>
              </w:rPr>
              <w:t xml:space="preserve"> г.</w:t>
            </w:r>
          </w:p>
        </w:tc>
      </w:tr>
    </w:tbl>
    <w:p w:rsidR="00DB3614" w:rsidRDefault="00DB3614" w:rsidP="00DB3614">
      <w:pPr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</w:p>
    <w:p w:rsidR="00DB3614" w:rsidRDefault="00DB3614" w:rsidP="00DB3614">
      <w:pPr>
        <w:pStyle w:val="a4"/>
        <w:ind w:left="0"/>
        <w:jc w:val="center"/>
        <w:rPr>
          <w:sz w:val="28"/>
          <w:szCs w:val="28"/>
        </w:rPr>
      </w:pPr>
      <w:r w:rsidRPr="00E46D9B">
        <w:rPr>
          <w:sz w:val="28"/>
          <w:szCs w:val="28"/>
        </w:rPr>
        <w:t>2. Аналитическая справка о реализации отраслевого докумен</w:t>
      </w:r>
      <w:r>
        <w:rPr>
          <w:sz w:val="28"/>
          <w:szCs w:val="28"/>
        </w:rPr>
        <w:t>та стратегического планирования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3"/>
        <w:gridCol w:w="8404"/>
      </w:tblGrid>
      <w:tr w:rsidR="00F3522B" w:rsidRPr="00E46D9B" w:rsidTr="00C92103">
        <w:tc>
          <w:tcPr>
            <w:tcW w:w="833" w:type="dxa"/>
            <w:vAlign w:val="center"/>
          </w:tcPr>
          <w:p w:rsidR="00F3522B" w:rsidRPr="00E46D9B" w:rsidRDefault="00F3522B" w:rsidP="00F3522B">
            <w:pPr>
              <w:jc w:val="both"/>
            </w:pPr>
            <w:r w:rsidRPr="00E46D9B">
              <w:t>№ п/п</w:t>
            </w:r>
          </w:p>
        </w:tc>
        <w:tc>
          <w:tcPr>
            <w:tcW w:w="8404" w:type="dxa"/>
            <w:vAlign w:val="center"/>
          </w:tcPr>
          <w:p w:rsidR="00F3522B" w:rsidRPr="00E46D9B" w:rsidRDefault="00F3522B" w:rsidP="00F3522B">
            <w:pPr>
              <w:jc w:val="center"/>
            </w:pPr>
            <w:r>
              <w:t>Содержание раздела</w:t>
            </w:r>
          </w:p>
        </w:tc>
      </w:tr>
      <w:tr w:rsidR="00F3522B" w:rsidRPr="00E46D9B" w:rsidTr="00C92103">
        <w:tc>
          <w:tcPr>
            <w:tcW w:w="833" w:type="dxa"/>
          </w:tcPr>
          <w:p w:rsidR="00F3522B" w:rsidRPr="00E46D9B" w:rsidRDefault="00F3522B" w:rsidP="00F352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E46D9B">
              <w:t>2.1</w:t>
            </w:r>
          </w:p>
        </w:tc>
        <w:tc>
          <w:tcPr>
            <w:tcW w:w="8404" w:type="dxa"/>
            <w:vAlign w:val="center"/>
          </w:tcPr>
          <w:p w:rsidR="00B20FB3" w:rsidRDefault="00F3522B" w:rsidP="00F3522B">
            <w:pPr>
              <w:jc w:val="center"/>
            </w:pPr>
            <w:r>
              <w:t>Описание динамики показателей отраслевого документа стратегического планирования, отраженных в пункте 5 настоящей формы:</w:t>
            </w:r>
          </w:p>
          <w:p w:rsidR="00F3522B" w:rsidRPr="00E46D9B" w:rsidRDefault="00F3522B" w:rsidP="00F3522B">
            <w:pPr>
              <w:jc w:val="center"/>
            </w:pPr>
            <w:r>
              <w:t xml:space="preserve"> </w:t>
            </w:r>
          </w:p>
          <w:p w:rsidR="00F3522B" w:rsidRPr="00F635B8" w:rsidRDefault="000005B4" w:rsidP="00DA1769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u w:val="single"/>
              </w:rPr>
            </w:pPr>
            <w:r>
              <w:rPr>
                <w:u w:val="single"/>
              </w:rPr>
              <w:t>П</w:t>
            </w:r>
            <w:r w:rsidR="00FD1CC2" w:rsidRPr="00FD1CC2">
              <w:rPr>
                <w:u w:val="single"/>
              </w:rPr>
              <w:t>оложительная динамика</w:t>
            </w:r>
            <w:r w:rsidR="00B93A5A">
              <w:rPr>
                <w:u w:val="single"/>
              </w:rPr>
              <w:t xml:space="preserve"> (увеличение)</w:t>
            </w:r>
            <w:r w:rsidR="00FD1CC2" w:rsidRPr="00FD1CC2">
              <w:rPr>
                <w:u w:val="single"/>
              </w:rPr>
              <w:t xml:space="preserve"> показателя среднего</w:t>
            </w:r>
            <w:r w:rsidR="00917B77">
              <w:rPr>
                <w:u w:val="single"/>
              </w:rPr>
              <w:t xml:space="preserve">дового </w:t>
            </w:r>
            <w:r w:rsidR="00FD1CC2" w:rsidRPr="00F635B8">
              <w:rPr>
                <w:u w:val="single"/>
              </w:rPr>
              <w:t xml:space="preserve">размера </w:t>
            </w:r>
            <w:r w:rsidR="009900AF" w:rsidRPr="009900AF">
              <w:rPr>
                <w:rFonts w:eastAsiaTheme="minorHAnsi"/>
                <w:u w:val="single"/>
                <w:lang w:eastAsia="en-US"/>
              </w:rPr>
              <w:t xml:space="preserve">страховой пенсии по старости неработающих пенсионеров </w:t>
            </w:r>
            <w:r w:rsidR="00F3522B" w:rsidRPr="00F635B8">
              <w:rPr>
                <w:color w:val="FFFFFF" w:themeColor="background1"/>
                <w:u w:val="single"/>
              </w:rPr>
              <w:t>1</w:t>
            </w:r>
          </w:p>
          <w:p w:rsidR="00F3522B" w:rsidRPr="00E46D9B" w:rsidRDefault="00F3522B" w:rsidP="00F3522B">
            <w:pPr>
              <w:jc w:val="center"/>
            </w:pPr>
            <w:r w:rsidRPr="00E46D9B">
              <w:t>(</w:t>
            </w:r>
            <w:r>
              <w:t>представляются описания изменений показателей</w:t>
            </w:r>
            <w:r w:rsidRPr="00E46D9B">
              <w:t>)</w:t>
            </w:r>
          </w:p>
        </w:tc>
      </w:tr>
      <w:tr w:rsidR="00F3522B" w:rsidRPr="00E46D9B" w:rsidTr="00C92103">
        <w:tc>
          <w:tcPr>
            <w:tcW w:w="833" w:type="dxa"/>
          </w:tcPr>
          <w:p w:rsidR="00F3522B" w:rsidRPr="00E46D9B" w:rsidRDefault="00F3522B" w:rsidP="00F352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E46D9B">
              <w:t>2.</w:t>
            </w:r>
            <w:r>
              <w:t>2</w:t>
            </w:r>
          </w:p>
        </w:tc>
        <w:tc>
          <w:tcPr>
            <w:tcW w:w="8404" w:type="dxa"/>
          </w:tcPr>
          <w:p w:rsidR="00304A27" w:rsidRDefault="00304A27" w:rsidP="00304A27">
            <w:pPr>
              <w:jc w:val="center"/>
            </w:pPr>
            <w:r w:rsidRPr="00E46D9B">
              <w:t>Оценка эффективности действующих мер</w:t>
            </w:r>
            <w:r>
              <w:t xml:space="preserve"> государственного регулирования</w:t>
            </w:r>
            <w:r>
              <w:br/>
            </w:r>
            <w:r w:rsidRPr="00E46D9B">
              <w:t>в описываемой сфере или отрасли экономики</w:t>
            </w:r>
            <w:r>
              <w:rPr>
                <w:vertAlign w:val="superscript"/>
              </w:rPr>
              <w:t>1</w:t>
            </w:r>
            <w:r w:rsidRPr="00E46D9B">
              <w:t>:</w:t>
            </w:r>
          </w:p>
          <w:p w:rsidR="001C2FAB" w:rsidRPr="00E46D9B" w:rsidRDefault="001C2FAB" w:rsidP="00304A27">
            <w:pPr>
              <w:jc w:val="center"/>
            </w:pPr>
          </w:p>
          <w:p w:rsidR="001C2FAB" w:rsidRPr="001C2FAB" w:rsidRDefault="001C2FAB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1C2FAB">
              <w:rPr>
                <w:bCs/>
                <w:u w:val="single"/>
                <w:lang w:bidi="ru-RU"/>
              </w:rPr>
              <w:lastRenderedPageBreak/>
              <w:t xml:space="preserve">Стратегия определяет на период до 2030 г. социальные приоритеты и ориентиры, а также механизмы государственной политики в сфере пенсионного страхования на отдельных этапах ее реализации. </w:t>
            </w:r>
          </w:p>
          <w:p w:rsidR="001C2FAB" w:rsidRDefault="001C2FAB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1C2FAB">
              <w:rPr>
                <w:bCs/>
                <w:u w:val="single"/>
                <w:lang w:bidi="ru-RU"/>
              </w:rPr>
              <w:t>Распоряжением Правительства Российской Федерации от 25 декабря 2012 г. № 2524</w:t>
            </w:r>
            <w:r w:rsidRPr="001C2FAB">
              <w:rPr>
                <w:bCs/>
                <w:u w:val="single"/>
                <w:lang w:bidi="ru-RU"/>
              </w:rPr>
              <w:noBreakHyphen/>
              <w:t xml:space="preserve">р утвержден план-график подготовки проектов федеральных законов по реализации Стратегии, содержащий 14 мероприятий, которые осуществлялись в 3 этапа. </w:t>
            </w:r>
          </w:p>
          <w:p w:rsidR="001C2FAB" w:rsidRPr="001C2FAB" w:rsidRDefault="001C2FAB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1C2FAB">
              <w:rPr>
                <w:bCs/>
                <w:u w:val="single"/>
                <w:lang w:bidi="ru-RU"/>
              </w:rPr>
              <w:t>В целях реализации Стратегии и плана-графика было организовано общественное и экспертное обсуждени</w:t>
            </w:r>
            <w:r w:rsidR="0084201A">
              <w:rPr>
                <w:bCs/>
                <w:u w:val="single"/>
                <w:lang w:bidi="ru-RU"/>
              </w:rPr>
              <w:t>е и приняты федеральные законы</w:t>
            </w:r>
            <w:r w:rsidR="005E1165">
              <w:rPr>
                <w:bCs/>
                <w:u w:val="single"/>
                <w:lang w:bidi="ru-RU"/>
              </w:rPr>
              <w:t>, направленные на</w:t>
            </w:r>
            <w:r w:rsidRPr="001C2FAB">
              <w:rPr>
                <w:bCs/>
                <w:u w:val="single"/>
                <w:lang w:bidi="ru-RU"/>
              </w:rPr>
              <w:t xml:space="preserve"> реализ</w:t>
            </w:r>
            <w:r w:rsidR="0084201A">
              <w:rPr>
                <w:bCs/>
                <w:u w:val="single"/>
                <w:lang w:bidi="ru-RU"/>
              </w:rPr>
              <w:t>аци</w:t>
            </w:r>
            <w:r w:rsidR="005E1165">
              <w:rPr>
                <w:bCs/>
                <w:u w:val="single"/>
                <w:lang w:bidi="ru-RU"/>
              </w:rPr>
              <w:t>ю</w:t>
            </w:r>
            <w:r w:rsidR="002511AB">
              <w:rPr>
                <w:bCs/>
                <w:u w:val="single"/>
                <w:lang w:bidi="ru-RU"/>
              </w:rPr>
              <w:t xml:space="preserve"> </w:t>
            </w:r>
            <w:r w:rsidRPr="001C2FAB">
              <w:rPr>
                <w:bCs/>
                <w:u w:val="single"/>
                <w:lang w:bidi="ru-RU"/>
              </w:rPr>
              <w:t>основны</w:t>
            </w:r>
            <w:r w:rsidR="0084201A">
              <w:rPr>
                <w:bCs/>
                <w:u w:val="single"/>
                <w:lang w:bidi="ru-RU"/>
              </w:rPr>
              <w:t>х</w:t>
            </w:r>
            <w:r w:rsidRPr="001C2FAB">
              <w:rPr>
                <w:bCs/>
                <w:u w:val="single"/>
                <w:lang w:bidi="ru-RU"/>
              </w:rPr>
              <w:t xml:space="preserve"> </w:t>
            </w:r>
            <w:r w:rsidR="002511AB">
              <w:rPr>
                <w:bCs/>
                <w:u w:val="single"/>
                <w:lang w:bidi="ru-RU"/>
              </w:rPr>
              <w:t xml:space="preserve">целей и </w:t>
            </w:r>
            <w:r w:rsidR="0084201A">
              <w:rPr>
                <w:bCs/>
                <w:u w:val="single"/>
                <w:lang w:bidi="ru-RU"/>
              </w:rPr>
              <w:t>задач</w:t>
            </w:r>
            <w:r w:rsidR="002511AB">
              <w:rPr>
                <w:bCs/>
                <w:u w:val="single"/>
                <w:lang w:bidi="ru-RU"/>
              </w:rPr>
              <w:t xml:space="preserve"> развития пенсионной системы</w:t>
            </w:r>
            <w:r w:rsidRPr="001C2FAB">
              <w:rPr>
                <w:bCs/>
                <w:u w:val="single"/>
                <w:lang w:bidi="ru-RU"/>
              </w:rPr>
              <w:t>:</w:t>
            </w:r>
          </w:p>
          <w:p w:rsidR="001C2FAB" w:rsidRPr="001C2FAB" w:rsidRDefault="001C2FAB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1C2FAB">
              <w:rPr>
                <w:bCs/>
                <w:u w:val="single"/>
                <w:lang w:bidi="ru-RU"/>
              </w:rPr>
              <w:t>гарантировани</w:t>
            </w:r>
            <w:r>
              <w:rPr>
                <w:bCs/>
                <w:u w:val="single"/>
                <w:lang w:bidi="ru-RU"/>
              </w:rPr>
              <w:t>е</w:t>
            </w:r>
            <w:r w:rsidRPr="001C2FAB">
              <w:rPr>
                <w:bCs/>
                <w:u w:val="single"/>
                <w:lang w:bidi="ru-RU"/>
              </w:rPr>
              <w:t xml:space="preserve"> приемлемого уровня пенсионного обеспечения граждан;</w:t>
            </w:r>
          </w:p>
          <w:p w:rsidR="0084201A" w:rsidRDefault="0084201A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1C2FAB">
              <w:rPr>
                <w:bCs/>
                <w:u w:val="single"/>
                <w:lang w:bidi="ru-RU"/>
              </w:rPr>
              <w:t>обеспечени</w:t>
            </w:r>
            <w:r>
              <w:rPr>
                <w:bCs/>
                <w:u w:val="single"/>
                <w:lang w:bidi="ru-RU"/>
              </w:rPr>
              <w:t>е</w:t>
            </w:r>
            <w:r w:rsidRPr="001C2FAB">
              <w:rPr>
                <w:bCs/>
                <w:u w:val="single"/>
                <w:lang w:bidi="ru-RU"/>
              </w:rPr>
              <w:t xml:space="preserve"> адекватности пенсионных прав заработной плате</w:t>
            </w:r>
            <w:r>
              <w:rPr>
                <w:bCs/>
                <w:u w:val="single"/>
                <w:lang w:bidi="ru-RU"/>
              </w:rPr>
              <w:t>;</w:t>
            </w:r>
          </w:p>
          <w:p w:rsidR="001C2FAB" w:rsidRPr="001C2FAB" w:rsidRDefault="00572322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572322">
              <w:rPr>
                <w:bCs/>
                <w:u w:val="single"/>
                <w:lang w:bidi="ru-RU"/>
              </w:rPr>
              <w:t>обеспечение сбалансированности и долгосрочной финансовой устойчивости пенсионной системы</w:t>
            </w:r>
            <w:r w:rsidR="001C2FAB" w:rsidRPr="001C2FAB">
              <w:rPr>
                <w:bCs/>
                <w:u w:val="single"/>
                <w:lang w:bidi="ru-RU"/>
              </w:rPr>
              <w:t>;</w:t>
            </w:r>
          </w:p>
          <w:p w:rsidR="001C2FAB" w:rsidRPr="001C2FAB" w:rsidRDefault="001C2FAB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1C2FAB">
              <w:rPr>
                <w:bCs/>
                <w:u w:val="single"/>
                <w:lang w:bidi="ru-RU"/>
              </w:rPr>
              <w:t>сохранени</w:t>
            </w:r>
            <w:r>
              <w:rPr>
                <w:bCs/>
                <w:u w:val="single"/>
                <w:lang w:bidi="ru-RU"/>
              </w:rPr>
              <w:t>е</w:t>
            </w:r>
            <w:r w:rsidRPr="001C2FAB">
              <w:rPr>
                <w:bCs/>
                <w:u w:val="single"/>
                <w:lang w:bidi="ru-RU"/>
              </w:rPr>
              <w:t xml:space="preserve"> приемлемого уровня страховой нагрузки </w:t>
            </w:r>
            <w:r w:rsidR="00572322" w:rsidRPr="00572322">
              <w:rPr>
                <w:bCs/>
                <w:u w:val="single"/>
                <w:lang w:bidi="ru-RU"/>
              </w:rPr>
              <w:t xml:space="preserve">для субъектов экономической деятельности </w:t>
            </w:r>
            <w:r w:rsidRPr="001C2FAB">
              <w:rPr>
                <w:bCs/>
                <w:u w:val="single"/>
                <w:lang w:bidi="ru-RU"/>
              </w:rPr>
              <w:t>и нагрузки на федеральный бюджет;</w:t>
            </w:r>
          </w:p>
          <w:p w:rsidR="001C2FAB" w:rsidRPr="001C2FAB" w:rsidRDefault="00572322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572322">
              <w:rPr>
                <w:bCs/>
                <w:u w:val="single"/>
                <w:lang w:bidi="ru-RU"/>
              </w:rPr>
              <w:t>повышение эффективности накопительной составляющей пенсионной системы.</w:t>
            </w:r>
          </w:p>
          <w:p w:rsidR="001C2FAB" w:rsidRPr="001C2FAB" w:rsidRDefault="001C2FAB" w:rsidP="0084201A">
            <w:pPr>
              <w:ind w:firstLine="222"/>
              <w:jc w:val="both"/>
              <w:rPr>
                <w:bCs/>
                <w:u w:val="single"/>
                <w:lang w:bidi="ru-RU"/>
              </w:rPr>
            </w:pPr>
            <w:r w:rsidRPr="00B93A5A">
              <w:rPr>
                <w:b/>
                <w:bCs/>
                <w:u w:val="single"/>
                <w:lang w:bidi="ru-RU"/>
              </w:rPr>
              <w:t>План-график выполнен в полном объеме в установленные сроки</w:t>
            </w:r>
            <w:r w:rsidRPr="001C2FAB">
              <w:rPr>
                <w:bCs/>
                <w:u w:val="single"/>
                <w:lang w:bidi="ru-RU"/>
              </w:rPr>
              <w:t>.</w:t>
            </w:r>
          </w:p>
          <w:p w:rsidR="00304A27" w:rsidRPr="00E46D9B" w:rsidRDefault="00304A27" w:rsidP="001C2FAB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F3522B" w:rsidRPr="00E46D9B" w:rsidRDefault="00304A27" w:rsidP="00304A27">
            <w:pPr>
              <w:jc w:val="center"/>
            </w:pPr>
            <w:r w:rsidRPr="00E46D9B">
              <w:t>(указывается перечень мер с характеристикой их влияния)</w:t>
            </w:r>
          </w:p>
        </w:tc>
      </w:tr>
      <w:tr w:rsidR="00F3522B" w:rsidRPr="00E46D9B" w:rsidTr="00C92103">
        <w:tc>
          <w:tcPr>
            <w:tcW w:w="831" w:type="dxa"/>
          </w:tcPr>
          <w:p w:rsidR="00F3522B" w:rsidRPr="00A53A64" w:rsidRDefault="00F3522B" w:rsidP="00F3522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A53A64">
              <w:lastRenderedPageBreak/>
              <w:t>2.3</w:t>
            </w:r>
          </w:p>
        </w:tc>
        <w:tc>
          <w:tcPr>
            <w:tcW w:w="8406" w:type="dxa"/>
            <w:vAlign w:val="center"/>
          </w:tcPr>
          <w:p w:rsidR="00F3522B" w:rsidRDefault="00F3522B" w:rsidP="00F3522B">
            <w:pPr>
              <w:jc w:val="center"/>
            </w:pPr>
            <w:r w:rsidRPr="00A53A64">
              <w:t>Итоги реализации мероприятий, предусмотренных отраслевым документом стратегического планирования в отчетном году (при наличии таких мероприятий):</w:t>
            </w:r>
          </w:p>
          <w:p w:rsidR="00F85B0D" w:rsidRDefault="00F85B0D" w:rsidP="00C81640">
            <w:pPr>
              <w:ind w:firstLine="224"/>
              <w:jc w:val="both"/>
              <w:rPr>
                <w:rFonts w:eastAsia="Calibri"/>
                <w:u w:val="single"/>
                <w:lang w:eastAsia="en-US"/>
              </w:rPr>
            </w:pPr>
          </w:p>
          <w:p w:rsidR="007F5015" w:rsidRPr="00730DB1" w:rsidRDefault="007F5015" w:rsidP="00847296">
            <w:pPr>
              <w:ind w:firstLine="225"/>
              <w:jc w:val="both"/>
            </w:pPr>
            <w:r w:rsidRPr="00730DB1">
              <w:t>Приоритетом пенсионной политики государства с учетом социально-экономической ситуации является повышение пенсий выше уровня инфляции неработающим пенсионерам.</w:t>
            </w:r>
          </w:p>
          <w:p w:rsidR="0061168C" w:rsidRPr="00730DB1" w:rsidRDefault="007F5015" w:rsidP="00847296">
            <w:pPr>
              <w:ind w:firstLine="225"/>
              <w:jc w:val="both"/>
            </w:pPr>
            <w:r w:rsidRPr="00730DB1">
              <w:t>Правительством Российской Федерации принят ряд мер по обеспечению стабильного роста уровня пенсионного обеспечения граждан.</w:t>
            </w:r>
          </w:p>
          <w:p w:rsidR="0061168C" w:rsidRPr="00730DB1" w:rsidRDefault="00E70CBB" w:rsidP="00847296">
            <w:pPr>
              <w:ind w:firstLine="225"/>
              <w:jc w:val="both"/>
              <w:rPr>
                <w:rFonts w:eastAsia="Calibri"/>
                <w:lang w:eastAsia="en-US"/>
              </w:rPr>
            </w:pPr>
            <w:r w:rsidRPr="00730DB1">
              <w:rPr>
                <w:rFonts w:eastAsia="Calibri"/>
                <w:lang w:eastAsia="en-US"/>
              </w:rPr>
              <w:t xml:space="preserve">По состоянию на 1 </w:t>
            </w:r>
            <w:r w:rsidR="00DA5E65" w:rsidRPr="00730DB1">
              <w:rPr>
                <w:rFonts w:eastAsia="Calibri"/>
                <w:lang w:eastAsia="en-US"/>
              </w:rPr>
              <w:t xml:space="preserve">января </w:t>
            </w:r>
            <w:r w:rsidRPr="00730DB1">
              <w:rPr>
                <w:rFonts w:eastAsia="Calibri"/>
                <w:lang w:eastAsia="en-US"/>
              </w:rPr>
              <w:t xml:space="preserve">2022 года численность пенсионеров, получающих пенсии по линии Пенсионного фонда Российской Федерации, составила порядка </w:t>
            </w:r>
            <w:r w:rsidR="00DA5E65" w:rsidRPr="00730DB1">
              <w:rPr>
                <w:rFonts w:eastAsia="Calibri"/>
                <w:lang w:eastAsia="en-US"/>
              </w:rPr>
              <w:t>42,0</w:t>
            </w:r>
            <w:r w:rsidRPr="00730DB1">
              <w:rPr>
                <w:rFonts w:eastAsia="Calibri"/>
                <w:lang w:eastAsia="en-US"/>
              </w:rPr>
              <w:t xml:space="preserve"> млн. человек без учета «военных» пенсионеров, из них около 3,9 млн. человек являются получателями пенсий по государственному пенсионному обеспечению, при этом около 3,3 млн. пенсионеров - получатели социальной пенсии.</w:t>
            </w:r>
          </w:p>
          <w:p w:rsidR="005B619A" w:rsidRPr="00730DB1" w:rsidRDefault="005B619A" w:rsidP="00847296">
            <w:pPr>
              <w:ind w:firstLine="225"/>
              <w:jc w:val="both"/>
              <w:rPr>
                <w:rFonts w:eastAsia="Calibri"/>
                <w:lang w:eastAsia="en-US"/>
              </w:rPr>
            </w:pPr>
            <w:r w:rsidRPr="00730DB1">
              <w:rPr>
                <w:rFonts w:eastAsia="Calibri"/>
                <w:lang w:eastAsia="en-US"/>
              </w:rPr>
              <w:t>В январе 2021 г</w:t>
            </w:r>
            <w:r w:rsidR="00EF72CF">
              <w:rPr>
                <w:rFonts w:eastAsia="Calibri"/>
                <w:lang w:eastAsia="en-US"/>
              </w:rPr>
              <w:t>.</w:t>
            </w:r>
            <w:r w:rsidRPr="00730DB1">
              <w:rPr>
                <w:rFonts w:eastAsia="Calibri"/>
                <w:lang w:eastAsia="en-US"/>
              </w:rPr>
              <w:t xml:space="preserve"> осуществлена </w:t>
            </w:r>
            <w:r w:rsidRPr="00730DB1">
              <w:rPr>
                <w:rFonts w:eastAsia="Calibri"/>
                <w:bCs/>
                <w:lang w:eastAsia="en-US"/>
              </w:rPr>
              <w:t xml:space="preserve">индексация страховых пенсий </w:t>
            </w:r>
            <w:r w:rsidRPr="00730DB1">
              <w:rPr>
                <w:rFonts w:eastAsia="Calibri"/>
                <w:lang w:eastAsia="en-US"/>
              </w:rPr>
              <w:t xml:space="preserve">неработающих пенсионеров </w:t>
            </w:r>
            <w:r w:rsidRPr="00730DB1">
              <w:rPr>
                <w:rFonts w:eastAsia="Calibri"/>
                <w:bCs/>
                <w:lang w:eastAsia="en-US"/>
              </w:rPr>
              <w:t xml:space="preserve">на 6,3%, </w:t>
            </w:r>
            <w:r w:rsidRPr="00730DB1">
              <w:rPr>
                <w:rFonts w:eastAsia="Calibri"/>
                <w:lang w:eastAsia="en-US"/>
              </w:rPr>
              <w:t xml:space="preserve">что выше фактического индекса роста цен за 2020 год, составившего 4,9 процента. В результате средний </w:t>
            </w:r>
            <w:r w:rsidRPr="00730DB1">
              <w:rPr>
                <w:rFonts w:eastAsia="Calibri"/>
                <w:bCs/>
                <w:lang w:eastAsia="en-US"/>
              </w:rPr>
              <w:t xml:space="preserve">размер страховой пенсии по старости </w:t>
            </w:r>
            <w:r w:rsidRPr="00730DB1">
              <w:rPr>
                <w:rFonts w:eastAsia="Calibri"/>
                <w:lang w:eastAsia="en-US"/>
              </w:rPr>
              <w:t>неработающих пенсионеров</w:t>
            </w:r>
            <w:r w:rsidR="00A75DF4" w:rsidRPr="00730DB1">
              <w:rPr>
                <w:rFonts w:eastAsia="Calibri"/>
                <w:lang w:eastAsia="en-US"/>
              </w:rPr>
              <w:t xml:space="preserve"> составил 17 545 рублей. </w:t>
            </w:r>
            <w:r w:rsidRPr="00730DB1">
              <w:rPr>
                <w:rFonts w:eastAsia="Calibri"/>
                <w:lang w:eastAsia="en-US"/>
              </w:rPr>
              <w:t>При этом среднегодовой размер пенсии увеличился в среднем более, чем на тыс. рублей.</w:t>
            </w:r>
          </w:p>
          <w:p w:rsidR="00CB12D2" w:rsidRPr="00730DB1" w:rsidRDefault="000756C5" w:rsidP="00847296">
            <w:pPr>
              <w:ind w:firstLine="225"/>
              <w:jc w:val="both"/>
              <w:rPr>
                <w:rFonts w:eastAsia="Calibri"/>
                <w:lang w:eastAsia="en-US"/>
              </w:rPr>
            </w:pPr>
            <w:r w:rsidRPr="00730DB1">
              <w:rPr>
                <w:rFonts w:eastAsia="Calibri"/>
                <w:lang w:eastAsia="en-US"/>
              </w:rPr>
              <w:t xml:space="preserve">Реализация данной меры позволила повысить уровень пенсионного обеспечения всех неработающих получателей страховой пенсии (порядка </w:t>
            </w:r>
            <w:r w:rsidRPr="00730DB1">
              <w:rPr>
                <w:rFonts w:eastAsia="Calibri"/>
                <w:b/>
                <w:lang w:eastAsia="en-US"/>
              </w:rPr>
              <w:t>30 млн. человек</w:t>
            </w:r>
            <w:r w:rsidRPr="00730DB1">
              <w:rPr>
                <w:rFonts w:eastAsia="Calibri"/>
                <w:lang w:eastAsia="en-US"/>
              </w:rPr>
              <w:t xml:space="preserve">), а также свыше 0,5 млн. неработающих военных пенсионеров, получающих страховую пенсию по старости. </w:t>
            </w:r>
          </w:p>
          <w:p w:rsidR="007F5015" w:rsidRPr="00730DB1" w:rsidRDefault="000756C5" w:rsidP="00847296">
            <w:pPr>
              <w:ind w:firstLine="225"/>
              <w:jc w:val="both"/>
              <w:rPr>
                <w:rFonts w:eastAsia="Calibri"/>
                <w:lang w:eastAsia="en-US"/>
              </w:rPr>
            </w:pPr>
            <w:r w:rsidRPr="00730DB1">
              <w:rPr>
                <w:rFonts w:eastAsia="Calibri"/>
                <w:lang w:eastAsia="en-US"/>
              </w:rPr>
              <w:t>С 1 апреля 2021 г</w:t>
            </w:r>
            <w:r w:rsidR="00EF72CF">
              <w:rPr>
                <w:rFonts w:eastAsia="Calibri"/>
                <w:lang w:eastAsia="en-US"/>
              </w:rPr>
              <w:t>.</w:t>
            </w:r>
            <w:r w:rsidRPr="00730DB1">
              <w:rPr>
                <w:rFonts w:eastAsia="Calibri"/>
                <w:lang w:eastAsia="en-US"/>
              </w:rPr>
              <w:t xml:space="preserve"> пенсии по государственному пенсионному обеспечению, включая социальные пенсии, проиндексированы </w:t>
            </w:r>
            <w:r w:rsidRPr="00730DB1">
              <w:rPr>
                <w:rFonts w:eastAsia="Calibri"/>
                <w:b/>
                <w:lang w:eastAsia="en-US"/>
              </w:rPr>
              <w:t>на 3,4%</w:t>
            </w:r>
            <w:r w:rsidRPr="00730DB1">
              <w:rPr>
                <w:rFonts w:eastAsia="Calibri"/>
                <w:lang w:eastAsia="en-US"/>
              </w:rPr>
              <w:t xml:space="preserve"> – в соответствии с ростом прожиточного минимума пенсионера в 2020 году. Повышение коснулось </w:t>
            </w:r>
            <w:r w:rsidRPr="00730DB1">
              <w:rPr>
                <w:rFonts w:eastAsia="Calibri"/>
                <w:b/>
                <w:lang w:eastAsia="en-US"/>
              </w:rPr>
              <w:t>3,9 млн. пенсионеров</w:t>
            </w:r>
            <w:r w:rsidRPr="00730DB1">
              <w:rPr>
                <w:rFonts w:eastAsia="Calibri"/>
                <w:lang w:eastAsia="en-US"/>
              </w:rPr>
              <w:t>, включая 3,2 млн. получателей социальных пенсий.</w:t>
            </w:r>
          </w:p>
          <w:p w:rsidR="000756C5" w:rsidRPr="00730DB1" w:rsidRDefault="000756C5" w:rsidP="000756C5">
            <w:pPr>
              <w:ind w:firstLine="225"/>
              <w:jc w:val="both"/>
              <w:rPr>
                <w:rFonts w:eastAsia="Calibri"/>
                <w:lang w:eastAsia="en-US"/>
              </w:rPr>
            </w:pPr>
            <w:r w:rsidRPr="00730DB1">
              <w:rPr>
                <w:rFonts w:eastAsia="Calibri"/>
                <w:lang w:eastAsia="en-US"/>
              </w:rPr>
              <w:lastRenderedPageBreak/>
              <w:t>С 1 августа 2021 г</w:t>
            </w:r>
            <w:r w:rsidR="00EF72CF">
              <w:rPr>
                <w:rFonts w:eastAsia="Calibri"/>
                <w:lang w:eastAsia="en-US"/>
              </w:rPr>
              <w:t>.</w:t>
            </w:r>
            <w:r w:rsidRPr="00730DB1">
              <w:rPr>
                <w:rFonts w:eastAsia="Calibri"/>
                <w:lang w:eastAsia="en-US"/>
              </w:rPr>
              <w:t xml:space="preserve"> проведен </w:t>
            </w:r>
            <w:proofErr w:type="spellStart"/>
            <w:r w:rsidRPr="00730DB1">
              <w:rPr>
                <w:rFonts w:eastAsia="Calibri"/>
                <w:b/>
                <w:lang w:eastAsia="en-US"/>
              </w:rPr>
              <w:t>беззаявительный</w:t>
            </w:r>
            <w:proofErr w:type="spellEnd"/>
            <w:r w:rsidRPr="00730DB1">
              <w:rPr>
                <w:rFonts w:eastAsia="Calibri"/>
                <w:b/>
                <w:lang w:eastAsia="en-US"/>
              </w:rPr>
              <w:t xml:space="preserve"> перерасчет</w:t>
            </w:r>
            <w:r w:rsidRPr="00730DB1">
              <w:rPr>
                <w:rFonts w:eastAsia="Calibri"/>
                <w:lang w:eastAsia="en-US"/>
              </w:rPr>
              <w:t xml:space="preserve"> размеров страховых пенсий более 10,3 млн. пенсионерам, осуществлявшим работу в 2020 году.</w:t>
            </w:r>
          </w:p>
          <w:p w:rsidR="000756C5" w:rsidRPr="00730DB1" w:rsidRDefault="000756C5" w:rsidP="00847296">
            <w:pPr>
              <w:ind w:firstLine="225"/>
              <w:jc w:val="both"/>
              <w:rPr>
                <w:rFonts w:eastAsia="Calibri"/>
                <w:lang w:eastAsia="en-US"/>
              </w:rPr>
            </w:pPr>
            <w:r w:rsidRPr="00730DB1">
              <w:rPr>
                <w:rFonts w:eastAsia="Calibri"/>
                <w:lang w:eastAsia="en-US"/>
              </w:rPr>
              <w:t>При этом, учитывая складывающуюся инфляцию по итогам 2021 года, для дополнительной поддержки граждан пожилого возраста в сентябре 2021 года всем получателям пенсий осуществлена единовременная денежная выплата в размере</w:t>
            </w:r>
            <w:r w:rsidR="00730DB1">
              <w:rPr>
                <w:rFonts w:eastAsia="Calibri"/>
                <w:lang w:eastAsia="en-US"/>
              </w:rPr>
              <w:t xml:space="preserve"> </w:t>
            </w:r>
            <w:r w:rsidRPr="00730DB1">
              <w:rPr>
                <w:rFonts w:eastAsia="Calibri"/>
                <w:lang w:eastAsia="en-US"/>
              </w:rPr>
              <w:t>10 000 рублей. Совокупно размер страховой пенсии по старости неработающих пенсионеров увеличился в 2021 году на 11,1%, что превысило инфляцию. Это позволило компенсировать дополнительные расходы пенсионеров, вызванные высоким ростом цен на товары первой необходимости в 2021 году.</w:t>
            </w:r>
          </w:p>
          <w:p w:rsidR="007F5015" w:rsidRPr="00730DB1" w:rsidRDefault="007F5015" w:rsidP="00847296">
            <w:pPr>
              <w:ind w:firstLine="225"/>
              <w:jc w:val="both"/>
            </w:pPr>
            <w:r w:rsidRPr="00730DB1">
              <w:t xml:space="preserve">Во исполнение поручения Главы Государства принят Федеральный закон от 28 января 2022 г. № 1-ФЗ, согласно которому в </w:t>
            </w:r>
            <w:r w:rsidR="00141C3F">
              <w:t>2022</w:t>
            </w:r>
            <w:r w:rsidRPr="00730DB1">
              <w:t xml:space="preserve"> году страховые пенсии неработающих пенсионеров проиндексированы на 8,6%, что выше уровня инфляции 2021 года. </w:t>
            </w:r>
          </w:p>
          <w:p w:rsidR="000756C5" w:rsidRPr="00730DB1" w:rsidRDefault="000756C5" w:rsidP="00847296">
            <w:pPr>
              <w:ind w:firstLine="225"/>
              <w:jc w:val="both"/>
              <w:rPr>
                <w:rFonts w:eastAsia="Calibri"/>
                <w:lang w:eastAsia="en-US"/>
              </w:rPr>
            </w:pPr>
            <w:r w:rsidRPr="00730DB1">
              <w:rPr>
                <w:rFonts w:eastAsia="Calibri"/>
                <w:lang w:eastAsia="en-US"/>
              </w:rPr>
              <w:t>Вместе с тем, отмечается, что в случае, если пенсия оказывается ниже прожиточного минимума в регионе, неработающему пенсионеру производится социальная доплата к пенсии.</w:t>
            </w:r>
          </w:p>
          <w:p w:rsidR="000756C5" w:rsidRPr="00730DB1" w:rsidRDefault="000756C5" w:rsidP="00847296">
            <w:pPr>
              <w:ind w:firstLine="225"/>
              <w:jc w:val="both"/>
              <w:rPr>
                <w:rFonts w:eastAsia="Calibri"/>
                <w:b/>
                <w:lang w:eastAsia="en-US"/>
              </w:rPr>
            </w:pPr>
            <w:r w:rsidRPr="00730DB1">
              <w:rPr>
                <w:rFonts w:eastAsia="Calibri"/>
                <w:lang w:eastAsia="en-US"/>
              </w:rPr>
              <w:t>Численность получателей социальной доплаты к пенсии по состоянию на 1 января 2022 года составляет порядка 6,3 млн. человек, в том числе получателей федеральной социальной доплаты к пенсии 3,0 млн. человек (средний размер – 2 488,37 рублей), получателей региональной социальной доплаты к пенсии – 3,3 млн. человек (средний размер - 5 277, 93 рублей).</w:t>
            </w:r>
          </w:p>
          <w:p w:rsidR="00C81640" w:rsidRPr="00B93A5A" w:rsidRDefault="00C81640" w:rsidP="00847296">
            <w:pPr>
              <w:ind w:firstLine="224"/>
              <w:jc w:val="both"/>
              <w:rPr>
                <w:rFonts w:eastAsia="Calibri"/>
                <w:b/>
                <w:lang w:eastAsia="en-US"/>
              </w:rPr>
            </w:pPr>
            <w:r w:rsidRPr="00B93A5A">
              <w:rPr>
                <w:rFonts w:eastAsia="Calibri"/>
                <w:b/>
                <w:lang w:eastAsia="en-US"/>
              </w:rPr>
              <w:t xml:space="preserve">В </w:t>
            </w:r>
            <w:r w:rsidR="007527FD" w:rsidRPr="00B93A5A">
              <w:rPr>
                <w:rFonts w:eastAsia="Calibri"/>
                <w:b/>
                <w:lang w:eastAsia="en-US"/>
              </w:rPr>
              <w:t xml:space="preserve">2021 </w:t>
            </w:r>
            <w:r w:rsidRPr="00B93A5A">
              <w:rPr>
                <w:rFonts w:eastAsia="Calibri"/>
                <w:b/>
                <w:lang w:eastAsia="en-US"/>
              </w:rPr>
              <w:t>году было обеспечено выполнение всех предусмотренных законодательством Российской Федерации мероприятий по повышению уровня материального обеспечения пенсионеров.</w:t>
            </w:r>
          </w:p>
          <w:p w:rsidR="00713F54" w:rsidRPr="006A26A1" w:rsidRDefault="00A474A2" w:rsidP="00847296">
            <w:pPr>
              <w:suppressAutoHyphens/>
              <w:ind w:firstLine="224"/>
              <w:contextualSpacing/>
              <w:jc w:val="both"/>
            </w:pPr>
            <w:r w:rsidRPr="006A26A1">
              <w:t xml:space="preserve">По состоянию </w:t>
            </w:r>
            <w:r w:rsidR="00157F23" w:rsidRPr="006A26A1">
              <w:t xml:space="preserve">на 1 января </w:t>
            </w:r>
            <w:r w:rsidR="007527FD" w:rsidRPr="006A26A1">
              <w:t>202</w:t>
            </w:r>
            <w:r w:rsidR="007527FD">
              <w:t>2</w:t>
            </w:r>
            <w:r w:rsidR="007527FD" w:rsidRPr="006A26A1">
              <w:t xml:space="preserve"> </w:t>
            </w:r>
            <w:r w:rsidR="00157F23" w:rsidRPr="006A26A1">
              <w:t xml:space="preserve">г. </w:t>
            </w:r>
            <w:r w:rsidRPr="006A26A1">
              <w:t xml:space="preserve">средства пенсионных накоплений в системе обязательного пенсионного страхования </w:t>
            </w:r>
            <w:r w:rsidR="00157F23" w:rsidRPr="006A26A1">
              <w:t>формирует свыше 7</w:t>
            </w:r>
            <w:r w:rsidR="00730DB1">
              <w:t>4</w:t>
            </w:r>
            <w:r w:rsidR="00157F23" w:rsidRPr="006A26A1">
              <w:t>,</w:t>
            </w:r>
            <w:r w:rsidR="00730DB1">
              <w:t>7</w:t>
            </w:r>
            <w:r w:rsidR="00157F23" w:rsidRPr="006A26A1">
              <w:t xml:space="preserve"> млн. человек. </w:t>
            </w:r>
          </w:p>
          <w:p w:rsidR="00852A2E" w:rsidRDefault="00847296" w:rsidP="00847296">
            <w:pPr>
              <w:suppressAutoHyphens/>
              <w:ind w:firstLine="224"/>
              <w:contextualSpacing/>
              <w:jc w:val="both"/>
              <w:rPr>
                <w:bCs/>
              </w:rPr>
            </w:pPr>
            <w:r>
              <w:rPr>
                <w:bCs/>
              </w:rPr>
              <w:t>Ч</w:t>
            </w:r>
            <w:r w:rsidR="00852A2E">
              <w:rPr>
                <w:bCs/>
              </w:rPr>
              <w:t xml:space="preserve">исленность получателей срочной пенсионной выплаты </w:t>
            </w:r>
            <w:r w:rsidR="00C608A1">
              <w:rPr>
                <w:bCs/>
              </w:rPr>
              <w:t xml:space="preserve">по состоянию </w:t>
            </w:r>
            <w:r>
              <w:rPr>
                <w:bCs/>
              </w:rPr>
              <w:t>на 1</w:t>
            </w:r>
            <w:r w:rsidR="00C608A1">
              <w:rPr>
                <w:bCs/>
              </w:rPr>
              <w:t> </w:t>
            </w:r>
            <w:r>
              <w:rPr>
                <w:bCs/>
              </w:rPr>
              <w:t xml:space="preserve">января 2022 г. </w:t>
            </w:r>
            <w:r w:rsidR="00852A2E">
              <w:rPr>
                <w:bCs/>
              </w:rPr>
              <w:t xml:space="preserve">составляет 34 209 человек (средний размер </w:t>
            </w:r>
            <w:r w:rsidR="002E50F2">
              <w:rPr>
                <w:bCs/>
              </w:rPr>
              <w:t>–</w:t>
            </w:r>
            <w:r w:rsidR="00450C5A">
              <w:rPr>
                <w:bCs/>
              </w:rPr>
              <w:t xml:space="preserve"> </w:t>
            </w:r>
            <w:r w:rsidR="00852A2E">
              <w:rPr>
                <w:bCs/>
              </w:rPr>
              <w:t>2</w:t>
            </w:r>
            <w:r w:rsidR="002E50F2">
              <w:rPr>
                <w:bCs/>
              </w:rPr>
              <w:t> </w:t>
            </w:r>
            <w:bookmarkStart w:id="0" w:name="_GoBack"/>
            <w:bookmarkEnd w:id="0"/>
            <w:r w:rsidR="00852A2E">
              <w:rPr>
                <w:bCs/>
              </w:rPr>
              <w:t>056,47 руб.), накопительной пенсии – 94 273 человека (средний размер – 1</w:t>
            </w:r>
            <w:r w:rsidR="002E50F2">
              <w:rPr>
                <w:bCs/>
              </w:rPr>
              <w:t> </w:t>
            </w:r>
            <w:r w:rsidR="00852A2E">
              <w:rPr>
                <w:bCs/>
              </w:rPr>
              <w:t xml:space="preserve">091,56 руб.). </w:t>
            </w:r>
          </w:p>
          <w:p w:rsidR="00847296" w:rsidRPr="006A26A1" w:rsidRDefault="00847296" w:rsidP="00847296">
            <w:pPr>
              <w:suppressAutoHyphens/>
              <w:ind w:firstLine="224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В 2021 году осуществлена единовременная выплата средств пенсионных накоплений свыше 1 854,2 </w:t>
            </w:r>
            <w:r w:rsidR="00E45820">
              <w:rPr>
                <w:bCs/>
              </w:rPr>
              <w:t>тыс</w:t>
            </w:r>
            <w:r>
              <w:rPr>
                <w:bCs/>
              </w:rPr>
              <w:t>. человек (средний размер выплаты – 14 539,53 руб.).</w:t>
            </w:r>
          </w:p>
          <w:p w:rsidR="009A59D5" w:rsidRDefault="009A59D5" w:rsidP="00C92103">
            <w:pPr>
              <w:suppressAutoHyphens/>
              <w:ind w:firstLine="224"/>
              <w:contextualSpacing/>
              <w:jc w:val="both"/>
              <w:rPr>
                <w:bCs/>
              </w:rPr>
            </w:pPr>
            <w:r w:rsidRPr="00450C5A">
              <w:rPr>
                <w:bCs/>
              </w:rPr>
              <w:t>Размер срочной пенсионной выплаты и размер накопительной пенсии подлеж</w:t>
            </w:r>
            <w:r>
              <w:rPr>
                <w:bCs/>
              </w:rPr>
              <w:t>и</w:t>
            </w:r>
            <w:r w:rsidRPr="00450C5A">
              <w:rPr>
                <w:bCs/>
              </w:rPr>
              <w:t>т корректировке по результатам инвестирования</w:t>
            </w:r>
            <w:r w:rsidR="00C92103">
              <w:rPr>
                <w:bCs/>
              </w:rPr>
              <w:t xml:space="preserve"> </w:t>
            </w:r>
            <w:r w:rsidR="00C92103" w:rsidRPr="00C92103">
              <w:rPr>
                <w:bCs/>
              </w:rPr>
              <w:t>средств пенсионных накоплений застрахованных лиц, которым установлена срочная пенсионная выплата</w:t>
            </w:r>
            <w:r w:rsidR="00C92103">
              <w:rPr>
                <w:bCs/>
              </w:rPr>
              <w:t>, и средств</w:t>
            </w:r>
            <w:r w:rsidR="00C92103" w:rsidRPr="00C92103">
              <w:rPr>
                <w:bCs/>
              </w:rPr>
              <w:t xml:space="preserve"> </w:t>
            </w:r>
            <w:r w:rsidR="00C92103">
              <w:rPr>
                <w:bCs/>
              </w:rPr>
              <w:t>выплатного резерва</w:t>
            </w:r>
            <w:r w:rsidRPr="00450C5A">
              <w:rPr>
                <w:bCs/>
              </w:rPr>
              <w:t xml:space="preserve"> с 1 августа года, следующего за годом получения дохода от инвестирования</w:t>
            </w:r>
            <w:r>
              <w:rPr>
                <w:bCs/>
              </w:rPr>
              <w:t xml:space="preserve">. В 2021 году </w:t>
            </w:r>
            <w:r w:rsidR="00E45820">
              <w:rPr>
                <w:bCs/>
              </w:rPr>
              <w:t xml:space="preserve">в Пенсионном фонде Российской Федерации </w:t>
            </w:r>
            <w:r w:rsidR="001569CD">
              <w:rPr>
                <w:bCs/>
              </w:rPr>
              <w:t xml:space="preserve">размеры </w:t>
            </w:r>
            <w:r>
              <w:rPr>
                <w:bCs/>
              </w:rPr>
              <w:t>срочны</w:t>
            </w:r>
            <w:r w:rsidR="001569CD">
              <w:rPr>
                <w:bCs/>
              </w:rPr>
              <w:t>х</w:t>
            </w:r>
            <w:r>
              <w:rPr>
                <w:bCs/>
              </w:rPr>
              <w:t xml:space="preserve"> пенсионны</w:t>
            </w:r>
            <w:r w:rsidR="001569CD">
              <w:rPr>
                <w:bCs/>
              </w:rPr>
              <w:t>х</w:t>
            </w:r>
            <w:r>
              <w:rPr>
                <w:bCs/>
              </w:rPr>
              <w:t xml:space="preserve"> выплат и накопительны</w:t>
            </w:r>
            <w:r w:rsidR="001569CD">
              <w:rPr>
                <w:bCs/>
              </w:rPr>
              <w:t>х</w:t>
            </w:r>
            <w:r>
              <w:rPr>
                <w:bCs/>
              </w:rPr>
              <w:t xml:space="preserve"> пенси</w:t>
            </w:r>
            <w:r w:rsidR="001569CD">
              <w:rPr>
                <w:bCs/>
              </w:rPr>
              <w:t>й</w:t>
            </w:r>
            <w:r>
              <w:rPr>
                <w:bCs/>
              </w:rPr>
              <w:t xml:space="preserve"> откорректированы соответственно на 6,33 % и 6,37 %.</w:t>
            </w:r>
          </w:p>
          <w:p w:rsidR="00847296" w:rsidRPr="006A26A1" w:rsidRDefault="00E45820" w:rsidP="00847296">
            <w:pPr>
              <w:suppressAutoHyphens/>
              <w:ind w:firstLine="224"/>
              <w:contextualSpacing/>
              <w:jc w:val="both"/>
            </w:pPr>
            <w:r>
              <w:t>Д</w:t>
            </w:r>
            <w:r w:rsidR="00847296" w:rsidRPr="006A26A1">
              <w:t xml:space="preserve">оходность от инвестирования средств пенсионных накоплений застрахованных лиц </w:t>
            </w:r>
            <w:r>
              <w:t>в</w:t>
            </w:r>
            <w:r w:rsidRPr="006A26A1">
              <w:t xml:space="preserve"> Пенсионном фонде Российской Федерации </w:t>
            </w:r>
            <w:r w:rsidR="00847296" w:rsidRPr="006A26A1">
              <w:t>за 202</w:t>
            </w:r>
            <w:r w:rsidR="00847296">
              <w:t>1</w:t>
            </w:r>
            <w:r w:rsidR="00847296" w:rsidRPr="006A26A1">
              <w:t xml:space="preserve"> г. составила совокупно </w:t>
            </w:r>
            <w:r w:rsidR="00847296">
              <w:t>4,65</w:t>
            </w:r>
            <w:r w:rsidR="00847296" w:rsidRPr="006A26A1">
              <w:t> % годовых.</w:t>
            </w:r>
          </w:p>
          <w:p w:rsidR="00847296" w:rsidRDefault="0064696A" w:rsidP="00847296">
            <w:pPr>
              <w:suppressAutoHyphens/>
              <w:ind w:firstLine="224"/>
              <w:contextualSpacing/>
              <w:jc w:val="both"/>
              <w:rPr>
                <w:bCs/>
              </w:rPr>
            </w:pPr>
            <w:hyperlink r:id="rId10" w:history="1">
              <w:r w:rsidR="00847296" w:rsidRPr="006A26A1">
                <w:t xml:space="preserve">Федеральным законом от </w:t>
              </w:r>
              <w:r w:rsidR="00847296">
                <w:t>21</w:t>
              </w:r>
              <w:r w:rsidR="00847296" w:rsidRPr="006A26A1">
                <w:t xml:space="preserve"> декабря 202</w:t>
              </w:r>
              <w:r w:rsidR="00847296">
                <w:t>1</w:t>
              </w:r>
              <w:r w:rsidR="00847296" w:rsidRPr="006A26A1">
                <w:t xml:space="preserve"> г. № </w:t>
              </w:r>
              <w:r w:rsidR="00847296">
                <w:t>410</w:t>
              </w:r>
              <w:r w:rsidR="00847296" w:rsidRPr="006A26A1">
                <w:t>-ФЗ «Об ожидаемом периоде выплаты накопительной пенсии на 202</w:t>
              </w:r>
              <w:r w:rsidR="00847296">
                <w:t>2</w:t>
              </w:r>
              <w:r w:rsidR="00847296" w:rsidRPr="006A26A1">
                <w:t xml:space="preserve"> год» установлена продолжительность ожидаемого периода выплаты накопительной пенсии на 202</w:t>
              </w:r>
              <w:r w:rsidR="00847296">
                <w:t>2</w:t>
              </w:r>
              <w:r w:rsidR="00847296" w:rsidRPr="006A26A1">
                <w:t xml:space="preserve"> год, которая составляет 264 месяца</w:t>
              </w:r>
              <w:r w:rsidR="00C608A1">
                <w:t xml:space="preserve"> (в </w:t>
              </w:r>
              <w:r w:rsidR="001569CD">
                <w:t>2021 г.</w:t>
              </w:r>
              <w:r w:rsidR="00C608A1">
                <w:t xml:space="preserve"> ожидаемый период выплаты накопительной пенсии также составлял 264 месяца</w:t>
              </w:r>
              <w:r w:rsidR="001569CD">
                <w:t>)</w:t>
              </w:r>
              <w:r w:rsidR="00847296" w:rsidRPr="006A26A1">
                <w:t>.</w:t>
              </w:r>
            </w:hyperlink>
            <w:r w:rsidR="00847296">
              <w:t xml:space="preserve"> </w:t>
            </w:r>
            <w:r w:rsidR="00847296" w:rsidRPr="006A26A1">
              <w:t xml:space="preserve">Ожидаемый период выплаты накопительной пенсии применяется </w:t>
            </w:r>
            <w:r w:rsidR="00C608A1">
              <w:t>при</w:t>
            </w:r>
            <w:r w:rsidR="00847296" w:rsidRPr="006A26A1">
              <w:t xml:space="preserve"> расчет</w:t>
            </w:r>
            <w:r w:rsidR="00C608A1">
              <w:t>е</w:t>
            </w:r>
            <w:r w:rsidR="00847296" w:rsidRPr="006A26A1">
              <w:t xml:space="preserve"> размера накопительной пенсии.</w:t>
            </w:r>
            <w:r w:rsidR="00847296" w:rsidRPr="006A26A1">
              <w:rPr>
                <w:bCs/>
              </w:rPr>
              <w:t xml:space="preserve"> </w:t>
            </w:r>
          </w:p>
          <w:p w:rsidR="00A474A2" w:rsidRPr="00847296" w:rsidRDefault="00F83D69" w:rsidP="00847296">
            <w:pPr>
              <w:suppressAutoHyphens/>
              <w:ind w:firstLine="224"/>
              <w:contextualSpacing/>
              <w:jc w:val="both"/>
              <w:rPr>
                <w:bCs/>
              </w:rPr>
            </w:pPr>
            <w:r w:rsidRPr="006A26A1">
              <w:rPr>
                <w:bCs/>
              </w:rPr>
              <w:lastRenderedPageBreak/>
              <w:t xml:space="preserve">Федеральным законом от </w:t>
            </w:r>
            <w:r w:rsidR="00973955">
              <w:rPr>
                <w:bCs/>
              </w:rPr>
              <w:t>21</w:t>
            </w:r>
            <w:r w:rsidR="00D849C6" w:rsidRPr="006A26A1">
              <w:rPr>
                <w:bCs/>
              </w:rPr>
              <w:t xml:space="preserve"> декабря </w:t>
            </w:r>
            <w:r w:rsidRPr="006A26A1">
              <w:rPr>
                <w:bCs/>
              </w:rPr>
              <w:t>202</w:t>
            </w:r>
            <w:r w:rsidR="00973955">
              <w:rPr>
                <w:bCs/>
              </w:rPr>
              <w:t>1</w:t>
            </w:r>
            <w:r w:rsidR="00D849C6" w:rsidRPr="006A26A1">
              <w:rPr>
                <w:bCs/>
              </w:rPr>
              <w:t xml:space="preserve"> г.</w:t>
            </w:r>
            <w:r w:rsidRPr="006A26A1">
              <w:rPr>
                <w:bCs/>
              </w:rPr>
              <w:t xml:space="preserve"> № </w:t>
            </w:r>
            <w:r w:rsidR="007527FD">
              <w:rPr>
                <w:bCs/>
              </w:rPr>
              <w:t>415</w:t>
            </w:r>
            <w:r w:rsidRPr="006A26A1">
              <w:rPr>
                <w:bCs/>
              </w:rPr>
              <w:t xml:space="preserve">-ФЗ «О внесении изменений в </w:t>
            </w:r>
            <w:r w:rsidR="00973955" w:rsidRPr="00973955">
              <w:rPr>
                <w:bCs/>
              </w:rPr>
              <w:t>отдельные законодательные акты Российской Федерации</w:t>
            </w:r>
            <w:r w:rsidRPr="006A26A1">
              <w:rPr>
                <w:bCs/>
              </w:rPr>
              <w:t>»</w:t>
            </w:r>
            <w:r w:rsidR="00433AC4">
              <w:rPr>
                <w:bCs/>
              </w:rPr>
              <w:t xml:space="preserve"> </w:t>
            </w:r>
            <w:r w:rsidR="00433AC4" w:rsidRPr="00433AC4">
              <w:rPr>
                <w:bCs/>
              </w:rPr>
              <w:t>в целях защиты прав застрахованных лиц установлен</w:t>
            </w:r>
            <w:r w:rsidR="00433AC4">
              <w:rPr>
                <w:bCs/>
              </w:rPr>
              <w:t xml:space="preserve"> </w:t>
            </w:r>
            <w:r w:rsidR="00433AC4" w:rsidRPr="00433AC4">
              <w:rPr>
                <w:bCs/>
              </w:rPr>
              <w:t>порядок, при котором в случае признания судом договора об обязательном пенсионном страховании недействительным и, соответственно, неправомерным досрочного перехода к новому страховщику (негосударственному пенсионному фонду) в связи с его неправомерным поведением и возврата средств пенсионных накоплений на счет гражданина у предыдущего страховщика, также будет возвращен гражданину ранее удержанный доход от инвестирования этих средств</w:t>
            </w:r>
            <w:r w:rsidR="00433AC4">
              <w:rPr>
                <w:bCs/>
              </w:rPr>
              <w:t xml:space="preserve"> и</w:t>
            </w:r>
            <w:r w:rsidR="00433AC4" w:rsidRPr="00433AC4">
              <w:rPr>
                <w:bCs/>
              </w:rPr>
              <w:t xml:space="preserve"> на счет гражданина будут направлены и проценты за неправомерное пользование средствами пенсионных накоплений.</w:t>
            </w:r>
          </w:p>
          <w:p w:rsidR="00F3522B" w:rsidRPr="00A53A64" w:rsidRDefault="00F3522B" w:rsidP="00730DB1">
            <w:pPr>
              <w:suppressAutoHyphens/>
              <w:ind w:firstLine="224"/>
              <w:contextualSpacing/>
              <w:jc w:val="both"/>
            </w:pPr>
          </w:p>
        </w:tc>
      </w:tr>
    </w:tbl>
    <w:p w:rsidR="00DB3614" w:rsidRPr="00E46D9B" w:rsidRDefault="00DB3614" w:rsidP="00DB36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1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Дается оценка достаточности и эффективности регулирующих соответствующую сферу</w:t>
      </w:r>
      <w:r>
        <w:rPr>
          <w:sz w:val="22"/>
          <w:szCs w:val="22"/>
        </w:rPr>
        <w:br/>
        <w:t xml:space="preserve">или отрасль экономики </w:t>
      </w:r>
      <w:r w:rsidRPr="00E46D9B">
        <w:rPr>
          <w:sz w:val="22"/>
          <w:szCs w:val="22"/>
        </w:rPr>
        <w:t>нормативны</w:t>
      </w:r>
      <w:r>
        <w:rPr>
          <w:sz w:val="22"/>
          <w:szCs w:val="22"/>
        </w:rPr>
        <w:t>х</w:t>
      </w:r>
      <w:r w:rsidRPr="00E46D9B">
        <w:rPr>
          <w:sz w:val="22"/>
          <w:szCs w:val="22"/>
        </w:rPr>
        <w:t xml:space="preserve"> правовы</w:t>
      </w:r>
      <w:r>
        <w:rPr>
          <w:sz w:val="22"/>
          <w:szCs w:val="22"/>
        </w:rPr>
        <w:t>х</w:t>
      </w:r>
      <w:r w:rsidRPr="00E46D9B">
        <w:rPr>
          <w:sz w:val="22"/>
          <w:szCs w:val="22"/>
        </w:rPr>
        <w:t xml:space="preserve"> акт</w:t>
      </w:r>
      <w:r>
        <w:rPr>
          <w:sz w:val="22"/>
          <w:szCs w:val="22"/>
        </w:rPr>
        <w:t>ов и международных соглашений.</w:t>
      </w:r>
      <w:r w:rsidRPr="00E46D9B">
        <w:rPr>
          <w:sz w:val="22"/>
          <w:szCs w:val="22"/>
        </w:rPr>
        <w:t xml:space="preserve"> </w:t>
      </w:r>
    </w:p>
    <w:p w:rsidR="00DB3614" w:rsidRPr="00E46D9B" w:rsidRDefault="00DB3614" w:rsidP="00DB361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отношении </w:t>
      </w:r>
      <w:r w:rsidRPr="00E46D9B">
        <w:rPr>
          <w:sz w:val="22"/>
          <w:szCs w:val="22"/>
        </w:rPr>
        <w:t>мер, оказавших</w:t>
      </w:r>
      <w:r>
        <w:rPr>
          <w:sz w:val="22"/>
          <w:szCs w:val="22"/>
        </w:rPr>
        <w:t xml:space="preserve"> значимое</w:t>
      </w:r>
      <w:r w:rsidRPr="00E46D9B">
        <w:rPr>
          <w:sz w:val="22"/>
          <w:szCs w:val="22"/>
        </w:rPr>
        <w:t xml:space="preserve"> положительное влияние на сферу или отрасль экономики</w:t>
      </w:r>
      <w:r>
        <w:rPr>
          <w:sz w:val="22"/>
          <w:szCs w:val="22"/>
        </w:rPr>
        <w:t xml:space="preserve"> </w:t>
      </w:r>
      <w:r w:rsidRPr="00E46D9B">
        <w:rPr>
          <w:sz w:val="22"/>
          <w:szCs w:val="22"/>
        </w:rPr>
        <w:t>в целом</w:t>
      </w:r>
      <w:r>
        <w:rPr>
          <w:sz w:val="22"/>
          <w:szCs w:val="22"/>
        </w:rPr>
        <w:t xml:space="preserve">, приводится описание </w:t>
      </w:r>
      <w:r w:rsidRPr="00E46D9B">
        <w:rPr>
          <w:sz w:val="22"/>
          <w:szCs w:val="22"/>
        </w:rPr>
        <w:t>их влияния</w:t>
      </w:r>
      <w:r>
        <w:rPr>
          <w:sz w:val="22"/>
          <w:szCs w:val="22"/>
        </w:rPr>
        <w:t>.</w:t>
      </w:r>
    </w:p>
    <w:p w:rsidR="00DB3614" w:rsidRPr="00E46D9B" w:rsidRDefault="00DB3614" w:rsidP="00DB361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E46D9B">
        <w:rPr>
          <w:sz w:val="22"/>
          <w:szCs w:val="22"/>
        </w:rPr>
        <w:t xml:space="preserve">При </w:t>
      </w:r>
      <w:r>
        <w:rPr>
          <w:sz w:val="22"/>
          <w:szCs w:val="22"/>
        </w:rPr>
        <w:t>выявлении мер, оказавших значимое отрицательное влияние на сферу или отрасль экономики в целом, приводится</w:t>
      </w:r>
      <w:r w:rsidRPr="00E46D9B">
        <w:rPr>
          <w:sz w:val="22"/>
          <w:szCs w:val="22"/>
        </w:rPr>
        <w:t xml:space="preserve"> описани</w:t>
      </w:r>
      <w:r>
        <w:rPr>
          <w:sz w:val="22"/>
          <w:szCs w:val="22"/>
        </w:rPr>
        <w:t>е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этого</w:t>
      </w:r>
      <w:r w:rsidRPr="00E46D9B">
        <w:rPr>
          <w:sz w:val="22"/>
          <w:szCs w:val="22"/>
        </w:rPr>
        <w:t xml:space="preserve"> влияния</w:t>
      </w:r>
      <w:r>
        <w:rPr>
          <w:sz w:val="22"/>
          <w:szCs w:val="22"/>
        </w:rPr>
        <w:t>, при этом в пункте 3.2 настоящей формы указываются</w:t>
      </w:r>
      <w:r w:rsidRPr="00E46D9B">
        <w:rPr>
          <w:sz w:val="22"/>
          <w:szCs w:val="22"/>
        </w:rPr>
        <w:t xml:space="preserve"> предложения</w:t>
      </w:r>
      <w:r>
        <w:rPr>
          <w:sz w:val="22"/>
          <w:szCs w:val="22"/>
        </w:rPr>
        <w:t xml:space="preserve"> по его </w:t>
      </w:r>
      <w:r w:rsidRPr="00E46D9B">
        <w:rPr>
          <w:sz w:val="22"/>
          <w:szCs w:val="22"/>
        </w:rPr>
        <w:t>предотвращени</w:t>
      </w:r>
      <w:r>
        <w:rPr>
          <w:sz w:val="22"/>
          <w:szCs w:val="22"/>
        </w:rPr>
        <w:t>ю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E46D9B">
        <w:rPr>
          <w:sz w:val="22"/>
          <w:szCs w:val="22"/>
        </w:rPr>
        <w:t xml:space="preserve"> дальнейше</w:t>
      </w:r>
      <w:r>
        <w:rPr>
          <w:sz w:val="22"/>
          <w:szCs w:val="22"/>
        </w:rPr>
        <w:t xml:space="preserve">м. </w:t>
      </w:r>
    </w:p>
    <w:p w:rsidR="00DB3614" w:rsidRDefault="00DB3614" w:rsidP="00DB3614">
      <w:pPr>
        <w:pStyle w:val="a4"/>
        <w:ind w:left="0"/>
        <w:jc w:val="center"/>
        <w:rPr>
          <w:sz w:val="28"/>
          <w:szCs w:val="28"/>
        </w:rPr>
      </w:pPr>
    </w:p>
    <w:p w:rsidR="00DB3614" w:rsidRPr="00E46D9B" w:rsidRDefault="00DB3614" w:rsidP="00DB361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 А</w:t>
      </w:r>
      <w:r w:rsidRPr="00E46D9B">
        <w:rPr>
          <w:sz w:val="28"/>
          <w:szCs w:val="28"/>
        </w:rPr>
        <w:t>нализ факторов, повлиявших на ход реализации отраслевого документа стратегического планирования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3"/>
        <w:gridCol w:w="8404"/>
      </w:tblGrid>
      <w:tr w:rsidR="00DB3614" w:rsidRPr="00E46D9B" w:rsidTr="00DB3614">
        <w:tc>
          <w:tcPr>
            <w:tcW w:w="851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№ п/п</w:t>
            </w:r>
          </w:p>
        </w:tc>
        <w:tc>
          <w:tcPr>
            <w:tcW w:w="8788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>Содержание раздела</w:t>
            </w:r>
          </w:p>
        </w:tc>
      </w:tr>
      <w:tr w:rsidR="00DB3614" w:rsidRPr="00E46D9B" w:rsidTr="00DB3614">
        <w:tc>
          <w:tcPr>
            <w:tcW w:w="851" w:type="dxa"/>
          </w:tcPr>
          <w:p w:rsidR="00DB3614" w:rsidRPr="00E46D9B" w:rsidRDefault="00DB3614" w:rsidP="00DB361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8788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>Факторы, повлекшие полное или частичное неисполнение мероприятий</w:t>
            </w:r>
            <w:r>
              <w:br/>
              <w:t xml:space="preserve">и (или) </w:t>
            </w:r>
            <w:proofErr w:type="spellStart"/>
            <w:r>
              <w:t>недостижение</w:t>
            </w:r>
            <w:proofErr w:type="spellEnd"/>
            <w:r>
              <w:t xml:space="preserve"> целевых показателей (при наличии)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 xml:space="preserve">(указывается перечень </w:t>
            </w:r>
            <w:r>
              <w:t>факторов</w:t>
            </w:r>
            <w:r w:rsidRPr="00E46D9B">
              <w:t>)</w:t>
            </w:r>
          </w:p>
        </w:tc>
      </w:tr>
      <w:tr w:rsidR="00DB3614" w:rsidRPr="00E46D9B" w:rsidTr="00DB3614">
        <w:tc>
          <w:tcPr>
            <w:tcW w:w="851" w:type="dxa"/>
          </w:tcPr>
          <w:p w:rsidR="00DB3614" w:rsidRPr="00E46D9B" w:rsidRDefault="00DB3614" w:rsidP="00DB361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8788" w:type="dxa"/>
            <w:vAlign w:val="center"/>
          </w:tcPr>
          <w:p w:rsidR="00DB3614" w:rsidRPr="00E46D9B" w:rsidRDefault="00DB3614" w:rsidP="00DB3614">
            <w:pPr>
              <w:jc w:val="center"/>
            </w:pPr>
            <w:r w:rsidRPr="00E46D9B">
              <w:t xml:space="preserve">Предложения по </w:t>
            </w:r>
            <w:r>
              <w:t>совершенствованию мер государственного регулирования в рассматриваемой отрасли: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(указывается перечень мероприятий)</w:t>
            </w:r>
          </w:p>
        </w:tc>
      </w:tr>
    </w:tbl>
    <w:p w:rsidR="00DB3614" w:rsidRPr="00E46D9B" w:rsidRDefault="00DB3614" w:rsidP="00DB36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B3614" w:rsidRPr="00E46D9B" w:rsidRDefault="00DB3614" w:rsidP="00DB3614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46D9B">
        <w:rPr>
          <w:sz w:val="28"/>
          <w:szCs w:val="28"/>
        </w:rPr>
        <w:t>. Предложения о необходимости корректировки отраслевого документа стратегического планирования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8538"/>
      </w:tblGrid>
      <w:tr w:rsidR="00DB3614" w:rsidRPr="00E46D9B" w:rsidTr="00DB3614">
        <w:tc>
          <w:tcPr>
            <w:tcW w:w="709" w:type="dxa"/>
            <w:vAlign w:val="center"/>
          </w:tcPr>
          <w:p w:rsidR="00DB3614" w:rsidRPr="00E46D9B" w:rsidRDefault="00DB3614" w:rsidP="00DB3614">
            <w:pPr>
              <w:jc w:val="both"/>
            </w:pPr>
            <w:r w:rsidRPr="00E46D9B">
              <w:t>№ п/п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>Содержание раздела</w:t>
            </w:r>
          </w:p>
        </w:tc>
      </w:tr>
      <w:tr w:rsidR="00DB3614" w:rsidRPr="00E46D9B" w:rsidTr="00DB3614">
        <w:tc>
          <w:tcPr>
            <w:tcW w:w="709" w:type="dxa"/>
          </w:tcPr>
          <w:p w:rsidR="00DB3614" w:rsidRPr="00E46D9B" w:rsidRDefault="00DB3614" w:rsidP="00DB3614">
            <w:pPr>
              <w:spacing w:line="360" w:lineRule="auto"/>
              <w:jc w:val="both"/>
            </w:pPr>
            <w:r>
              <w:t>4</w:t>
            </w:r>
            <w:r w:rsidRPr="00E46D9B">
              <w:t>.1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 w:rsidRPr="00E46D9B">
              <w:t xml:space="preserve">Перечень </w:t>
            </w:r>
            <w:r>
              <w:t xml:space="preserve">факторов, последствия которых окажут значительное влияние на </w:t>
            </w:r>
            <w:r w:rsidRPr="00E46D9B">
              <w:t>сферы или отрасли экономики</w:t>
            </w:r>
            <w:r>
              <w:rPr>
                <w:vertAlign w:val="superscript"/>
              </w:rPr>
              <w:t xml:space="preserve"> 2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Default="00DB3614" w:rsidP="00DB3614">
            <w:pPr>
              <w:jc w:val="center"/>
            </w:pPr>
            <w:r w:rsidRPr="00E46D9B">
              <w:t xml:space="preserve">(указывается перечень </w:t>
            </w:r>
            <w:r>
              <w:t>факторов</w:t>
            </w:r>
            <w:r w:rsidRPr="00E46D9B">
              <w:t xml:space="preserve"> с характеристикой их влияния)</w:t>
            </w:r>
          </w:p>
          <w:p w:rsidR="000005B4" w:rsidRPr="00E46D9B" w:rsidRDefault="000005B4" w:rsidP="00DB3614">
            <w:pPr>
              <w:jc w:val="center"/>
            </w:pPr>
          </w:p>
        </w:tc>
      </w:tr>
      <w:tr w:rsidR="00DB3614" w:rsidRPr="00E46D9B" w:rsidTr="00DB3614">
        <w:tc>
          <w:tcPr>
            <w:tcW w:w="709" w:type="dxa"/>
          </w:tcPr>
          <w:p w:rsidR="00DB3614" w:rsidRPr="00E46D9B" w:rsidRDefault="00DB3614" w:rsidP="00DB3614">
            <w:pPr>
              <w:spacing w:line="360" w:lineRule="auto"/>
              <w:jc w:val="both"/>
            </w:pPr>
            <w:r>
              <w:t>4</w:t>
            </w:r>
            <w:r w:rsidRPr="00E46D9B">
              <w:t>.2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 xml:space="preserve">Предложения по корректировке содержания </w:t>
            </w:r>
            <w:r w:rsidRPr="00E46D9B">
              <w:t>отраслевого документа стратегического планирования</w:t>
            </w:r>
            <w:r>
              <w:t xml:space="preserve"> (при необходимости)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</w:t>
            </w:r>
            <w:r>
              <w:t>ю</w:t>
            </w:r>
            <w:r w:rsidRPr="00E46D9B">
              <w:t xml:space="preserve">тся </w:t>
            </w:r>
            <w:r>
              <w:t>предложения по корректировке и/или уточнению)</w:t>
            </w:r>
          </w:p>
        </w:tc>
      </w:tr>
      <w:tr w:rsidR="00DB3614" w:rsidRPr="00E46D9B" w:rsidTr="00DB3614">
        <w:tc>
          <w:tcPr>
            <w:tcW w:w="709" w:type="dxa"/>
          </w:tcPr>
          <w:p w:rsidR="00DB3614" w:rsidRPr="00E46D9B" w:rsidRDefault="00DB3614" w:rsidP="00DB3614">
            <w:pPr>
              <w:spacing w:line="360" w:lineRule="auto"/>
              <w:jc w:val="both"/>
            </w:pPr>
            <w:r>
              <w:t>4.3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 xml:space="preserve">Предложения по корректировке </w:t>
            </w:r>
            <w:r w:rsidRPr="00E46D9B">
              <w:t>мероприятий отраслевого документа</w:t>
            </w:r>
            <w:r>
              <w:t xml:space="preserve"> стратегического планирования (при необходимости)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t>1</w:t>
            </w:r>
            <w:r w:rsidRPr="00E46D9B">
              <w:rPr>
                <w:u w:val="single"/>
              </w:rPr>
              <w:t xml:space="preserve">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</w:t>
            </w:r>
            <w:r>
              <w:t>ю</w:t>
            </w:r>
            <w:r w:rsidRPr="00E46D9B">
              <w:t>тся пр</w:t>
            </w:r>
            <w:r>
              <w:t>едложения по корректировке и/или уточнению</w:t>
            </w:r>
            <w:r w:rsidRPr="00E46D9B">
              <w:t>)</w:t>
            </w:r>
          </w:p>
        </w:tc>
      </w:tr>
      <w:tr w:rsidR="00DB3614" w:rsidRPr="00E46D9B" w:rsidTr="00DB3614">
        <w:tc>
          <w:tcPr>
            <w:tcW w:w="709" w:type="dxa"/>
          </w:tcPr>
          <w:p w:rsidR="00DB3614" w:rsidRDefault="00DB3614" w:rsidP="00DB3614">
            <w:pPr>
              <w:spacing w:line="360" w:lineRule="auto"/>
              <w:jc w:val="both"/>
            </w:pPr>
            <w:r>
              <w:t>4.4</w:t>
            </w:r>
          </w:p>
        </w:tc>
        <w:tc>
          <w:tcPr>
            <w:tcW w:w="8930" w:type="dxa"/>
            <w:vAlign w:val="center"/>
          </w:tcPr>
          <w:p w:rsidR="00DB3614" w:rsidRPr="00E46D9B" w:rsidRDefault="00DB3614" w:rsidP="00DB3614">
            <w:pPr>
              <w:jc w:val="center"/>
            </w:pPr>
            <w:r>
              <w:t xml:space="preserve">Предложения по корректировке показателей </w:t>
            </w:r>
            <w:r w:rsidRPr="00E46D9B">
              <w:t>отраслевого документа</w:t>
            </w:r>
            <w:r>
              <w:t xml:space="preserve"> стратегического планирования и (или) их значений (при необходимости)</w:t>
            </w:r>
            <w:r w:rsidRPr="00E46D9B">
              <w:t>:</w:t>
            </w:r>
          </w:p>
          <w:p w:rsidR="00DB3614" w:rsidRPr="00E46D9B" w:rsidRDefault="00DB3614" w:rsidP="00DB3614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color w:val="FFFFFF" w:themeColor="background1"/>
              </w:rPr>
              <w:lastRenderedPageBreak/>
              <w:t>1</w:t>
            </w:r>
            <w:r w:rsidRPr="00E46D9B">
              <w:rPr>
                <w:u w:val="single"/>
              </w:rPr>
              <w:t xml:space="preserve">            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DB3614" w:rsidRPr="00E46D9B" w:rsidRDefault="00DB3614" w:rsidP="00DB3614">
            <w:pPr>
              <w:jc w:val="center"/>
            </w:pPr>
            <w:r w:rsidRPr="00E46D9B">
              <w:t>(указыва</w:t>
            </w:r>
            <w:r>
              <w:t>ю</w:t>
            </w:r>
            <w:r w:rsidRPr="00E46D9B">
              <w:t>тся пр</w:t>
            </w:r>
            <w:r>
              <w:t>едложения по корректировке и (или) уточнению</w:t>
            </w:r>
            <w:r w:rsidRPr="00E46D9B">
              <w:t>)</w:t>
            </w:r>
          </w:p>
        </w:tc>
      </w:tr>
    </w:tbl>
    <w:p w:rsidR="00DB3614" w:rsidRDefault="00DB3614" w:rsidP="00DB3614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2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Указываются факторы</w:t>
      </w:r>
      <w:r w:rsidRPr="00E46D9B">
        <w:rPr>
          <w:sz w:val="22"/>
          <w:szCs w:val="22"/>
        </w:rPr>
        <w:t>,</w:t>
      </w:r>
      <w:r>
        <w:rPr>
          <w:sz w:val="22"/>
          <w:szCs w:val="22"/>
        </w:rPr>
        <w:t xml:space="preserve"> последствия которых окажут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негативное или позитивное </w:t>
      </w:r>
      <w:r w:rsidRPr="00E46D9B">
        <w:rPr>
          <w:sz w:val="22"/>
          <w:szCs w:val="22"/>
        </w:rPr>
        <w:t>влияние</w:t>
      </w:r>
      <w:r>
        <w:rPr>
          <w:sz w:val="22"/>
          <w:szCs w:val="22"/>
        </w:rPr>
        <w:br/>
        <w:t>на сферу или отрасль экономики, с характеристикой их влияния. В качестве х</w:t>
      </w:r>
      <w:r w:rsidRPr="00E46D9B">
        <w:rPr>
          <w:sz w:val="22"/>
          <w:szCs w:val="22"/>
        </w:rPr>
        <w:t>арактеристик</w:t>
      </w:r>
      <w:r>
        <w:rPr>
          <w:sz w:val="22"/>
          <w:szCs w:val="22"/>
        </w:rPr>
        <w:t>и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влияния фактора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указывается «негативное/позитивное»</w:t>
      </w:r>
      <w:r w:rsidRPr="00E46D9B">
        <w:rPr>
          <w:sz w:val="22"/>
          <w:szCs w:val="22"/>
        </w:rPr>
        <w:t>.</w:t>
      </w:r>
    </w:p>
    <w:p w:rsidR="006759B5" w:rsidRDefault="006759B5"/>
    <w:p w:rsidR="00C609DB" w:rsidRPr="00E46D9B" w:rsidRDefault="00C609DB" w:rsidP="00C609DB">
      <w:pPr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46D9B">
        <w:rPr>
          <w:sz w:val="28"/>
          <w:szCs w:val="28"/>
        </w:rPr>
        <w:t xml:space="preserve">. Сведения о </w:t>
      </w:r>
      <w:r>
        <w:rPr>
          <w:sz w:val="28"/>
          <w:szCs w:val="28"/>
        </w:rPr>
        <w:t xml:space="preserve">достижении целевых значений показателей </w:t>
      </w:r>
      <w:r w:rsidRPr="00E46D9B">
        <w:rPr>
          <w:sz w:val="28"/>
          <w:szCs w:val="28"/>
        </w:rPr>
        <w:t xml:space="preserve">за отчетный период </w:t>
      </w:r>
    </w:p>
    <w:tbl>
      <w:tblPr>
        <w:tblStyle w:val="a3"/>
        <w:tblW w:w="9707" w:type="dxa"/>
        <w:tblInd w:w="-34" w:type="dxa"/>
        <w:tblLook w:val="04A0" w:firstRow="1" w:lastRow="0" w:firstColumn="1" w:lastColumn="0" w:noHBand="0" w:noVBand="1"/>
      </w:tblPr>
      <w:tblGrid>
        <w:gridCol w:w="540"/>
        <w:gridCol w:w="3703"/>
        <w:gridCol w:w="1583"/>
        <w:gridCol w:w="979"/>
        <w:gridCol w:w="993"/>
        <w:gridCol w:w="1909"/>
      </w:tblGrid>
      <w:tr w:rsidR="00C609DB" w:rsidRPr="00E46D9B" w:rsidTr="00C609DB">
        <w:trPr>
          <w:trHeight w:val="232"/>
        </w:trPr>
        <w:tc>
          <w:tcPr>
            <w:tcW w:w="540" w:type="dxa"/>
            <w:vMerge w:val="restart"/>
            <w:vAlign w:val="center"/>
          </w:tcPr>
          <w:p w:rsidR="00C609DB" w:rsidRPr="00E46D9B" w:rsidRDefault="00C609DB" w:rsidP="00C609DB">
            <w:pPr>
              <w:jc w:val="center"/>
            </w:pPr>
            <w:r w:rsidRPr="00E46D9B">
              <w:t xml:space="preserve">№ п/п </w:t>
            </w:r>
          </w:p>
        </w:tc>
        <w:tc>
          <w:tcPr>
            <w:tcW w:w="3703" w:type="dxa"/>
            <w:vMerge w:val="restart"/>
            <w:vAlign w:val="center"/>
          </w:tcPr>
          <w:p w:rsidR="00C609DB" w:rsidRPr="00E46D9B" w:rsidRDefault="00C609DB" w:rsidP="00C609DB">
            <w:pPr>
              <w:jc w:val="center"/>
            </w:pPr>
            <w:r w:rsidRPr="00E46D9B">
              <w:t>Показатели отрасли/</w:t>
            </w:r>
            <w:r>
              <w:t>сферы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3" w:type="dxa"/>
            <w:vMerge w:val="restart"/>
            <w:vAlign w:val="center"/>
          </w:tcPr>
          <w:p w:rsidR="00C609DB" w:rsidRDefault="00C609DB" w:rsidP="00C609DB">
            <w:pPr>
              <w:jc w:val="center"/>
            </w:pPr>
            <w:r w:rsidRPr="00E46D9B">
              <w:t xml:space="preserve">Предыдущий год </w:t>
            </w:r>
          </w:p>
          <w:p w:rsidR="00C609DB" w:rsidRPr="00E46D9B" w:rsidRDefault="00C609DB" w:rsidP="007527FD">
            <w:pPr>
              <w:jc w:val="center"/>
            </w:pPr>
            <w:r>
              <w:t>20</w:t>
            </w:r>
            <w:r w:rsidR="007527FD">
              <w:t>20</w:t>
            </w:r>
          </w:p>
        </w:tc>
        <w:tc>
          <w:tcPr>
            <w:tcW w:w="1972" w:type="dxa"/>
            <w:gridSpan w:val="2"/>
          </w:tcPr>
          <w:p w:rsidR="00C609DB" w:rsidRDefault="00C609DB" w:rsidP="00C609DB">
            <w:pPr>
              <w:jc w:val="center"/>
            </w:pPr>
            <w:r>
              <w:t>Отчетный год</w:t>
            </w:r>
          </w:p>
          <w:p w:rsidR="00C609DB" w:rsidRPr="00E46D9B" w:rsidRDefault="00C609DB" w:rsidP="007527FD">
            <w:pPr>
              <w:jc w:val="center"/>
            </w:pPr>
            <w:r>
              <w:t>20</w:t>
            </w:r>
            <w:r w:rsidR="00502DD7">
              <w:t>2</w:t>
            </w:r>
            <w:r w:rsidR="007527FD">
              <w:t>1</w:t>
            </w:r>
          </w:p>
        </w:tc>
        <w:tc>
          <w:tcPr>
            <w:tcW w:w="1909" w:type="dxa"/>
            <w:vMerge w:val="restart"/>
            <w:vAlign w:val="center"/>
          </w:tcPr>
          <w:p w:rsidR="00C609DB" w:rsidRPr="00AC1DD4" w:rsidRDefault="00C609DB" w:rsidP="00C609DB">
            <w:pPr>
              <w:ind w:right="47"/>
              <w:jc w:val="center"/>
              <w:rPr>
                <w:vertAlign w:val="superscript"/>
              </w:rPr>
            </w:pPr>
            <w:r>
              <w:t>Характеристика показателя</w:t>
            </w:r>
            <w:r>
              <w:rPr>
                <w:vertAlign w:val="superscript"/>
              </w:rPr>
              <w:t>5</w:t>
            </w:r>
          </w:p>
        </w:tc>
      </w:tr>
      <w:tr w:rsidR="00C609DB" w:rsidRPr="00E46D9B" w:rsidTr="00C609DB">
        <w:trPr>
          <w:trHeight w:val="231"/>
        </w:trPr>
        <w:tc>
          <w:tcPr>
            <w:tcW w:w="540" w:type="dxa"/>
            <w:vMerge/>
            <w:vAlign w:val="center"/>
          </w:tcPr>
          <w:p w:rsidR="00C609DB" w:rsidRPr="00E46D9B" w:rsidRDefault="00C609DB" w:rsidP="00C609DB">
            <w:pPr>
              <w:jc w:val="center"/>
            </w:pPr>
          </w:p>
        </w:tc>
        <w:tc>
          <w:tcPr>
            <w:tcW w:w="3703" w:type="dxa"/>
            <w:vMerge/>
            <w:vAlign w:val="center"/>
          </w:tcPr>
          <w:p w:rsidR="00C609DB" w:rsidRPr="00E46D9B" w:rsidRDefault="00C609DB" w:rsidP="00C609DB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C609DB" w:rsidRPr="00E46D9B" w:rsidRDefault="00C609DB" w:rsidP="00C609DB">
            <w:pPr>
              <w:jc w:val="center"/>
            </w:pPr>
          </w:p>
        </w:tc>
        <w:tc>
          <w:tcPr>
            <w:tcW w:w="979" w:type="dxa"/>
          </w:tcPr>
          <w:p w:rsidR="00C609DB" w:rsidRPr="00856C95" w:rsidRDefault="00C609DB" w:rsidP="00C609DB">
            <w:pPr>
              <w:jc w:val="center"/>
              <w:rPr>
                <w:vertAlign w:val="superscript"/>
              </w:rPr>
            </w:pPr>
            <w:r>
              <w:t>План</w:t>
            </w:r>
            <w:r>
              <w:rPr>
                <w:vertAlign w:val="superscript"/>
              </w:rPr>
              <w:t>4</w:t>
            </w:r>
          </w:p>
        </w:tc>
        <w:tc>
          <w:tcPr>
            <w:tcW w:w="993" w:type="dxa"/>
          </w:tcPr>
          <w:p w:rsidR="00C609DB" w:rsidRPr="00E46D9B" w:rsidRDefault="00C609DB" w:rsidP="00C609DB">
            <w:pPr>
              <w:jc w:val="center"/>
            </w:pPr>
            <w:r>
              <w:t>Факт</w:t>
            </w:r>
          </w:p>
        </w:tc>
        <w:tc>
          <w:tcPr>
            <w:tcW w:w="1909" w:type="dxa"/>
            <w:vMerge/>
            <w:vAlign w:val="center"/>
          </w:tcPr>
          <w:p w:rsidR="00C609DB" w:rsidRDefault="00C609DB" w:rsidP="00C609DB">
            <w:pPr>
              <w:ind w:right="47"/>
              <w:jc w:val="center"/>
            </w:pPr>
          </w:p>
        </w:tc>
      </w:tr>
      <w:tr w:rsidR="00271CD9" w:rsidRPr="00E46D9B" w:rsidTr="00314B71">
        <w:tc>
          <w:tcPr>
            <w:tcW w:w="540" w:type="dxa"/>
          </w:tcPr>
          <w:p w:rsidR="00271CD9" w:rsidRPr="00E46D9B" w:rsidRDefault="00271CD9" w:rsidP="00C609DB">
            <w:pPr>
              <w:pStyle w:val="a4"/>
              <w:ind w:left="0"/>
            </w:pPr>
            <w:r>
              <w:t>5</w:t>
            </w:r>
            <w:r w:rsidRPr="00E46D9B">
              <w:t>.1</w:t>
            </w:r>
          </w:p>
        </w:tc>
        <w:tc>
          <w:tcPr>
            <w:tcW w:w="3703" w:type="dxa"/>
          </w:tcPr>
          <w:p w:rsidR="00271CD9" w:rsidRDefault="00271CD9" w:rsidP="00C609DB">
            <w:pPr>
              <w:pStyle w:val="a4"/>
              <w:ind w:left="0"/>
              <w:jc w:val="both"/>
            </w:pPr>
            <w:r w:rsidRPr="00C609DB">
              <w:t>Сред</w:t>
            </w:r>
            <w:r w:rsidR="00A118EB">
              <w:t>негодовой</w:t>
            </w:r>
            <w:r w:rsidRPr="00C609DB">
              <w:t xml:space="preserve"> размер </w:t>
            </w:r>
            <w:r w:rsidR="001158F0">
              <w:t xml:space="preserve">страховой </w:t>
            </w:r>
            <w:r w:rsidR="001158F0" w:rsidRPr="00C609DB">
              <w:t>пенсии</w:t>
            </w:r>
            <w:r w:rsidR="001158F0">
              <w:t xml:space="preserve"> по старости неработающих пенсионеров</w:t>
            </w:r>
            <w:r w:rsidRPr="00C609DB">
              <w:t>, рублей</w:t>
            </w:r>
          </w:p>
          <w:p w:rsidR="00271CD9" w:rsidRPr="00C609DB" w:rsidRDefault="00271CD9" w:rsidP="00C609DB">
            <w:pPr>
              <w:pStyle w:val="a4"/>
              <w:ind w:left="0"/>
              <w:jc w:val="both"/>
            </w:pPr>
          </w:p>
        </w:tc>
        <w:tc>
          <w:tcPr>
            <w:tcW w:w="1583" w:type="dxa"/>
          </w:tcPr>
          <w:p w:rsidR="00271CD9" w:rsidRPr="004F78A7" w:rsidRDefault="00271CD9" w:rsidP="00C609DB">
            <w:pPr>
              <w:pStyle w:val="a4"/>
              <w:ind w:left="0"/>
              <w:jc w:val="center"/>
            </w:pPr>
          </w:p>
          <w:p w:rsidR="00271CD9" w:rsidRPr="004F78A7" w:rsidRDefault="007527FD" w:rsidP="00C92103">
            <w:pPr>
              <w:pStyle w:val="a4"/>
              <w:ind w:left="0"/>
              <w:jc w:val="center"/>
            </w:pPr>
            <w:r w:rsidRPr="007527FD">
              <w:t>16</w:t>
            </w:r>
            <w:r w:rsidR="00C92103">
              <w:t> </w:t>
            </w:r>
            <w:r w:rsidRPr="007527FD">
              <w:rPr>
                <w:lang w:val="en-US"/>
              </w:rPr>
              <w:t>502</w:t>
            </w:r>
          </w:p>
        </w:tc>
        <w:tc>
          <w:tcPr>
            <w:tcW w:w="979" w:type="dxa"/>
          </w:tcPr>
          <w:p w:rsidR="00271CD9" w:rsidRPr="004F78A7" w:rsidRDefault="00271CD9" w:rsidP="00C609DB">
            <w:pPr>
              <w:pStyle w:val="a4"/>
              <w:ind w:left="0"/>
              <w:jc w:val="center"/>
            </w:pPr>
          </w:p>
          <w:p w:rsidR="00271CD9" w:rsidRPr="004F78A7" w:rsidRDefault="00EF72CF" w:rsidP="00C609DB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271CD9" w:rsidRDefault="00271CD9" w:rsidP="00CE48E3">
            <w:pPr>
              <w:pStyle w:val="a4"/>
              <w:ind w:left="0"/>
              <w:jc w:val="center"/>
              <w:rPr>
                <w:lang w:val="en-US"/>
              </w:rPr>
            </w:pPr>
          </w:p>
          <w:p w:rsidR="00EC109A" w:rsidRPr="00EC109A" w:rsidRDefault="00EC109A" w:rsidP="00CE48E3">
            <w:pPr>
              <w:pStyle w:val="a4"/>
              <w:ind w:left="0"/>
              <w:jc w:val="center"/>
            </w:pPr>
            <w:r>
              <w:t>17 545</w:t>
            </w:r>
          </w:p>
        </w:tc>
        <w:tc>
          <w:tcPr>
            <w:tcW w:w="1909" w:type="dxa"/>
          </w:tcPr>
          <w:p w:rsidR="00271CD9" w:rsidRPr="00E46D9B" w:rsidRDefault="00BC5D32" w:rsidP="00314B71">
            <w:pPr>
              <w:pStyle w:val="a4"/>
              <w:ind w:left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267335</wp:posOffset>
                      </wp:positionV>
                      <wp:extent cx="200025" cy="200025"/>
                      <wp:effectExtent l="57150" t="19050" r="28575" b="10477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DE8" w:rsidRPr="00271CD9" w:rsidRDefault="002A7DE8" w:rsidP="00314B71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left:0;text-align:left;margin-left:35.85pt;margin-top:21.05pt;width:1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" fillcolor="white [3212]" strokecolor="black [3213]">
                      <v:shadow on="t" color="black" opacity="22937f" origin=",.5" offset="0,.63889mm"/>
                      <v:path arrowok="t"/>
                      <v:textbox>
                        <w:txbxContent>
                          <w:p w:rsidR="002A7DE8" w:rsidRPr="00271CD9" w:rsidRDefault="002A7DE8" w:rsidP="00314B7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C609DB" w:rsidRDefault="00C609DB" w:rsidP="00C609DB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Каждый показатель указывается в отдельной строке.</w:t>
      </w:r>
    </w:p>
    <w:p w:rsidR="00C609DB" w:rsidRDefault="00C609DB" w:rsidP="00C609DB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наличии утвержденного планового значения показателя на отчетный год в отраслевом документе стратегического планирования.</w:t>
      </w:r>
    </w:p>
    <w:p w:rsidR="00C609DB" w:rsidRPr="00E46D9B" w:rsidRDefault="00C609DB" w:rsidP="00C609DB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E46D9B">
        <w:rPr>
          <w:sz w:val="22"/>
          <w:szCs w:val="22"/>
        </w:rPr>
        <w:t>аполняется в соответствии с динамикой относительно предыдущего года</w:t>
      </w:r>
      <w:r>
        <w:rPr>
          <w:sz w:val="22"/>
          <w:szCs w:val="22"/>
        </w:rPr>
        <w:t xml:space="preserve"> (с точки зрения достижения целевого значения показателя)</w:t>
      </w:r>
      <w:r w:rsidRPr="00E46D9B">
        <w:rPr>
          <w:sz w:val="22"/>
          <w:szCs w:val="22"/>
        </w:rPr>
        <w:t xml:space="preserve">: </w:t>
      </w:r>
    </w:p>
    <w:p w:rsidR="00C609DB" w:rsidRPr="00BF3247" w:rsidRDefault="00BC5D32" w:rsidP="00C609DB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32385</wp:posOffset>
                </wp:positionV>
                <wp:extent cx="135890" cy="127000"/>
                <wp:effectExtent l="57150" t="19050" r="35560" b="10160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ADD62" id="Овал 4" o:spid="_x0000_s1026" style="position:absolute;margin-left:18.9pt;margin-top:2.55pt;width:10.7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" fillcolor="white [3212]" strokecolor="black [3213]">
                <v:shadow on="t" color="black" opacity="22937f" origin=",.5" offset="0,.63889mm"/>
                <v:path arrowok="t"/>
              </v:oval>
            </w:pict>
          </mc:Fallback>
        </mc:AlternateContent>
      </w:r>
      <w:r w:rsidR="00C609DB" w:rsidRPr="006D215D">
        <w:rPr>
          <w:noProof/>
          <w:sz w:val="22"/>
          <w:szCs w:val="22"/>
        </w:rPr>
        <w:t xml:space="preserve">улучшение ситуации </w:t>
      </w:r>
      <w:r w:rsidR="00C609DB">
        <w:rPr>
          <w:noProof/>
          <w:sz w:val="22"/>
          <w:szCs w:val="22"/>
        </w:rPr>
        <w:t xml:space="preserve">в отрасли </w:t>
      </w:r>
      <w:r w:rsidR="00C609DB" w:rsidRPr="006D215D">
        <w:rPr>
          <w:noProof/>
          <w:sz w:val="22"/>
          <w:szCs w:val="22"/>
        </w:rPr>
        <w:t>по сравнению с</w:t>
      </w:r>
      <w:r w:rsidR="00C609DB" w:rsidRPr="00BF3247">
        <w:rPr>
          <w:sz w:val="22"/>
          <w:szCs w:val="22"/>
        </w:rPr>
        <w:t xml:space="preserve"> предыдущим годом</w:t>
      </w:r>
      <w:r w:rsidR="00C609DB">
        <w:rPr>
          <w:sz w:val="22"/>
          <w:szCs w:val="22"/>
        </w:rPr>
        <w:t>;</w:t>
      </w:r>
    </w:p>
    <w:p w:rsidR="00C609DB" w:rsidRPr="00E46D9B" w:rsidRDefault="00BC5D32" w:rsidP="00C609DB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26670</wp:posOffset>
                </wp:positionV>
                <wp:extent cx="135890" cy="127000"/>
                <wp:effectExtent l="13970" t="13335" r="12065" b="31115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pattFill prst="pct5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0ED23" id="Oval 14" o:spid="_x0000_s1026" style="position:absolute;margin-left:18.8pt;margin-top:2.1pt;width:10.7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" fillcolor="black [3213]" strokecolor="black [3213]">
                <v:fill r:id="rId11" o:title="" color2="white [3212]" type="pattern"/>
                <v:shadow on="t" color="black" opacity="22936f" origin=",.5" offset="0,.63889mm"/>
              </v:oval>
            </w:pict>
          </mc:Fallback>
        </mc:AlternateContent>
      </w:r>
      <w:r w:rsidR="00C609DB">
        <w:rPr>
          <w:sz w:val="22"/>
          <w:szCs w:val="22"/>
        </w:rPr>
        <w:t xml:space="preserve">ситуация не изменилась; </w:t>
      </w:r>
    </w:p>
    <w:p w:rsidR="00C609DB" w:rsidRDefault="00BC5D32" w:rsidP="00C609DB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26035</wp:posOffset>
                </wp:positionV>
                <wp:extent cx="135890" cy="127000"/>
                <wp:effectExtent l="57150" t="19050" r="35560" b="10160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127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935B4" id="Овал 2" o:spid="_x0000_s1026" style="position:absolute;margin-left:18.3pt;margin-top:2.05pt;width:10.7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" fillcolor="black [3213]" strokecolor="black [3213]">
                <v:shadow on="t" color="black" opacity="22937f" origin=",.5" offset="0,.63889mm"/>
                <v:path arrowok="t"/>
              </v:oval>
            </w:pict>
          </mc:Fallback>
        </mc:AlternateContent>
      </w:r>
      <w:r w:rsidR="00C609DB" w:rsidRPr="001F6979">
        <w:rPr>
          <w:noProof/>
          <w:sz w:val="22"/>
          <w:szCs w:val="22"/>
        </w:rPr>
        <w:t>ухудшение ситуации по сравнению с</w:t>
      </w:r>
      <w:r w:rsidR="00C609DB" w:rsidRPr="001F6979">
        <w:rPr>
          <w:sz w:val="22"/>
          <w:szCs w:val="22"/>
        </w:rPr>
        <w:t xml:space="preserve"> предыдущим годом.</w:t>
      </w:r>
    </w:p>
    <w:p w:rsidR="00FD0CAA" w:rsidRDefault="00FD0CAA" w:rsidP="00FD0CAA">
      <w:pPr>
        <w:contextualSpacing/>
        <w:rPr>
          <w:sz w:val="22"/>
          <w:szCs w:val="22"/>
        </w:rPr>
      </w:pPr>
    </w:p>
    <w:p w:rsidR="00FD0CAA" w:rsidRDefault="00FD0CAA" w:rsidP="00FD0CAA">
      <w:pPr>
        <w:contextualSpacing/>
        <w:rPr>
          <w:sz w:val="22"/>
          <w:szCs w:val="22"/>
        </w:rPr>
      </w:pP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E46D9B">
        <w:rPr>
          <w:sz w:val="28"/>
          <w:szCs w:val="28"/>
        </w:rPr>
        <w:t>. Данные об использованных бюджетных ассигнованиях на реализацию мероприятий государственных программ Российской Федерации, обеспечивающих реализацию отраслевого документа</w:t>
      </w:r>
      <w:r>
        <w:rPr>
          <w:sz w:val="28"/>
          <w:szCs w:val="28"/>
        </w:rPr>
        <w:t xml:space="preserve"> стратегического планирования</w:t>
      </w:r>
    </w:p>
    <w:tbl>
      <w:tblPr>
        <w:tblStyle w:val="a3"/>
        <w:tblW w:w="9789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3444"/>
      </w:tblGrid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 w:rsidRPr="00E46D9B">
              <w:t>№ п/п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ind w:left="-113" w:right="20" w:firstLine="9"/>
              <w:jc w:val="center"/>
            </w:pPr>
            <w:r w:rsidRPr="00E46D9B">
              <w:t>Наименование государственной программы Российской Федерации</w:t>
            </w:r>
            <w:r>
              <w:t xml:space="preserve"> (госпрограммы), федеральной целевой программы (ФЦП) либо</w:t>
            </w:r>
            <w:r>
              <w:br/>
              <w:t>их составляющих</w:t>
            </w:r>
            <w:r>
              <w:rPr>
                <w:vertAlign w:val="superscript"/>
              </w:rPr>
              <w:t>6</w:t>
            </w:r>
          </w:p>
        </w:tc>
        <w:tc>
          <w:tcPr>
            <w:tcW w:w="3444" w:type="dxa"/>
          </w:tcPr>
          <w:p w:rsidR="00FD0CAA" w:rsidRPr="00E46D9B" w:rsidRDefault="00FD0CAA" w:rsidP="00FD0CAA">
            <w:pPr>
              <w:jc w:val="center"/>
            </w:pPr>
            <w:r w:rsidRPr="00E46D9B">
              <w:t>Объем бюджетных ассигнований, выделенных</w:t>
            </w:r>
            <w:r>
              <w:br/>
            </w:r>
            <w:r w:rsidRPr="00E46D9B">
              <w:t>в отчетном году</w:t>
            </w:r>
            <w:r>
              <w:t xml:space="preserve"> на реализацию отраслевого документа стратегического планирования</w:t>
            </w:r>
          </w:p>
        </w:tc>
      </w:tr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>
              <w:t>1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ind w:left="-113" w:right="20" w:firstLine="9"/>
              <w:jc w:val="center"/>
            </w:pPr>
            <w:r>
              <w:t>2</w:t>
            </w:r>
          </w:p>
        </w:tc>
        <w:tc>
          <w:tcPr>
            <w:tcW w:w="3444" w:type="dxa"/>
          </w:tcPr>
          <w:p w:rsidR="00FD0CAA" w:rsidRPr="00E46D9B" w:rsidRDefault="00FD0CAA" w:rsidP="00FD0CAA">
            <w:pPr>
              <w:jc w:val="center"/>
            </w:pPr>
            <w:r>
              <w:t>3</w:t>
            </w:r>
          </w:p>
        </w:tc>
      </w:tr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>
              <w:t>6.1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jc w:val="center"/>
            </w:pPr>
            <w:r w:rsidRPr="00E46D9B">
              <w:t xml:space="preserve">Наименование </w:t>
            </w:r>
            <w:r>
              <w:t>госпрограммы</w:t>
            </w:r>
            <w:r w:rsidRPr="00E46D9B">
              <w:t>:</w:t>
            </w:r>
          </w:p>
          <w:p w:rsidR="00FD0CAA" w:rsidRPr="00E46D9B" w:rsidRDefault="00FD0CAA" w:rsidP="00FD0CAA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u w:val="single"/>
              </w:rPr>
              <w:t xml:space="preserve">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7B478E" w:rsidRPr="00E46D9B" w:rsidRDefault="00FD0CAA" w:rsidP="007B478E">
            <w:pPr>
              <w:jc w:val="center"/>
            </w:pPr>
            <w:r w:rsidRPr="00E46D9B">
              <w:t>(указывается наименование)</w:t>
            </w:r>
          </w:p>
        </w:tc>
        <w:tc>
          <w:tcPr>
            <w:tcW w:w="3444" w:type="dxa"/>
          </w:tcPr>
          <w:p w:rsidR="00647769" w:rsidRDefault="00647769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>
              <w:t>6.1.1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jc w:val="center"/>
            </w:pPr>
            <w:r w:rsidRPr="00E46D9B">
              <w:t xml:space="preserve">Наименование </w:t>
            </w:r>
            <w:r>
              <w:t>подпрограммы/ФЦП госпрограммы</w:t>
            </w:r>
            <w:r w:rsidRPr="00E46D9B">
              <w:t>:</w:t>
            </w:r>
          </w:p>
          <w:p w:rsidR="00FD0CAA" w:rsidRPr="00E46D9B" w:rsidRDefault="00FD0CAA" w:rsidP="00FD0CAA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u w:val="single"/>
              </w:rPr>
              <w:t xml:space="preserve">    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FD0CAA" w:rsidRPr="00E46D9B" w:rsidRDefault="00FD0CAA" w:rsidP="00FD0CAA">
            <w:pPr>
              <w:jc w:val="center"/>
            </w:pPr>
            <w:r w:rsidRPr="00E46D9B">
              <w:t>(указывается наименование)</w:t>
            </w:r>
          </w:p>
        </w:tc>
        <w:tc>
          <w:tcPr>
            <w:tcW w:w="3444" w:type="dxa"/>
          </w:tcPr>
          <w:p w:rsidR="00647769" w:rsidRDefault="00647769" w:rsidP="00FD0CAA">
            <w:pPr>
              <w:jc w:val="center"/>
            </w:pPr>
          </w:p>
          <w:p w:rsidR="00647769" w:rsidRDefault="00647769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1101" w:type="dxa"/>
          </w:tcPr>
          <w:p w:rsidR="00FD0CAA" w:rsidRPr="00E46D9B" w:rsidRDefault="00FD0CAA" w:rsidP="00FD0CAA">
            <w:pPr>
              <w:jc w:val="center"/>
            </w:pPr>
            <w:r>
              <w:t>6.1.1.1</w:t>
            </w:r>
          </w:p>
        </w:tc>
        <w:tc>
          <w:tcPr>
            <w:tcW w:w="5244" w:type="dxa"/>
            <w:vAlign w:val="center"/>
          </w:tcPr>
          <w:p w:rsidR="00FD0CAA" w:rsidRPr="00E46D9B" w:rsidRDefault="00FD0CAA" w:rsidP="00FD0CAA">
            <w:pPr>
              <w:jc w:val="center"/>
            </w:pPr>
            <w:r w:rsidRPr="00E46D9B">
              <w:t xml:space="preserve">Наименование </w:t>
            </w:r>
            <w:r>
              <w:t>основного мероприятия подпрограммы госпрограммы/мероприятия в рамках ФЦП</w:t>
            </w:r>
            <w:r w:rsidRPr="00E46D9B">
              <w:t>:</w:t>
            </w:r>
          </w:p>
          <w:p w:rsidR="00FD0CAA" w:rsidRPr="00E46D9B" w:rsidRDefault="00FD0CAA" w:rsidP="00FD0CAA">
            <w:pPr>
              <w:jc w:val="center"/>
              <w:rPr>
                <w:color w:val="FFFFFF" w:themeColor="background1"/>
                <w:u w:val="single"/>
              </w:rPr>
            </w:pPr>
            <w:r w:rsidRPr="00E46D9B">
              <w:rPr>
                <w:u w:val="single"/>
              </w:rPr>
              <w:t xml:space="preserve">                                   </w:t>
            </w:r>
            <w:r>
              <w:rPr>
                <w:u w:val="single"/>
              </w:rPr>
              <w:t>-</w:t>
            </w:r>
            <w:r w:rsidRPr="00E46D9B">
              <w:rPr>
                <w:u w:val="single"/>
              </w:rPr>
              <w:t xml:space="preserve">                                         </w:t>
            </w:r>
            <w:r w:rsidRPr="00E46D9B">
              <w:rPr>
                <w:color w:val="FFFFFF" w:themeColor="background1"/>
                <w:u w:val="single"/>
              </w:rPr>
              <w:t>1</w:t>
            </w:r>
          </w:p>
          <w:p w:rsidR="00FD0CAA" w:rsidRPr="00E46D9B" w:rsidRDefault="00FD0CAA" w:rsidP="00FD0CAA">
            <w:pPr>
              <w:jc w:val="center"/>
            </w:pPr>
            <w:r w:rsidRPr="00E46D9B">
              <w:t>(указывается наименование)</w:t>
            </w:r>
          </w:p>
        </w:tc>
        <w:tc>
          <w:tcPr>
            <w:tcW w:w="3444" w:type="dxa"/>
          </w:tcPr>
          <w:p w:rsidR="0048681F" w:rsidRDefault="0048681F" w:rsidP="00FD0CAA">
            <w:pPr>
              <w:jc w:val="center"/>
            </w:pPr>
          </w:p>
          <w:p w:rsidR="0048681F" w:rsidRDefault="0048681F" w:rsidP="00FD0CAA">
            <w:pPr>
              <w:jc w:val="center"/>
            </w:pPr>
          </w:p>
          <w:p w:rsidR="0048681F" w:rsidRDefault="0048681F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</w:tbl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6 </w:t>
      </w:r>
      <w:r>
        <w:rPr>
          <w:sz w:val="22"/>
          <w:szCs w:val="22"/>
        </w:rPr>
        <w:t xml:space="preserve">Указываются все госпрограммы, механизмы которых используются для реализации отраслевого документа стратегического планирования. 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случае, когда госпрограмма полностью направлена на реализацию отраслевого документа стратегического планирования, разбивка на подпрограммы/ФЦП не требуется. При этом в столбце 3 указывается общий объем средств федерального бюджета в рамках госпрограммы.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когда на реализацию отраслевого документа стратегического планирования направлены только отдельные подпрограммы/ФЦП или отдельные основные мероприятия госпрограммы/мероприятия ФЦП, в столбце 3 приводится соответствующий объем бюджетных ассигнований. 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FD0CAA" w:rsidRPr="00E46D9B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E46D9B">
        <w:rPr>
          <w:sz w:val="28"/>
          <w:szCs w:val="28"/>
        </w:rPr>
        <w:t>. Данные об объемах привлеченного внебюджетного финансирования,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E46D9B">
        <w:rPr>
          <w:sz w:val="28"/>
          <w:szCs w:val="28"/>
        </w:rPr>
        <w:t>в том числе на принципах государственно-частного партнерства, в рамках реализации отраслевого документа</w:t>
      </w:r>
      <w:r>
        <w:rPr>
          <w:sz w:val="28"/>
          <w:szCs w:val="28"/>
        </w:rPr>
        <w:t xml:space="preserve"> стратегического планирования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7"/>
        <w:gridCol w:w="1985"/>
        <w:gridCol w:w="2126"/>
      </w:tblGrid>
      <w:tr w:rsidR="00FD0CAA" w:rsidRPr="00E46D9B" w:rsidTr="00FD0CAA">
        <w:tc>
          <w:tcPr>
            <w:tcW w:w="959" w:type="dxa"/>
          </w:tcPr>
          <w:p w:rsidR="00FD0CAA" w:rsidRPr="00E46D9B" w:rsidRDefault="00FD0CAA" w:rsidP="00FD0CAA">
            <w:pPr>
              <w:jc w:val="center"/>
            </w:pPr>
            <w:r w:rsidRPr="00E46D9B">
              <w:t>№ п/п</w:t>
            </w:r>
          </w:p>
        </w:tc>
        <w:tc>
          <w:tcPr>
            <w:tcW w:w="4677" w:type="dxa"/>
            <w:vAlign w:val="center"/>
          </w:tcPr>
          <w:p w:rsidR="00FD0CAA" w:rsidRPr="00E46D9B" w:rsidRDefault="00FD0CAA" w:rsidP="00FD0CAA">
            <w:pPr>
              <w:ind w:left="-113" w:right="20" w:firstLine="9"/>
              <w:jc w:val="center"/>
            </w:pPr>
            <w:r w:rsidRPr="00E46D9B">
              <w:t xml:space="preserve">Наименование направления </w:t>
            </w:r>
          </w:p>
        </w:tc>
        <w:tc>
          <w:tcPr>
            <w:tcW w:w="1985" w:type="dxa"/>
          </w:tcPr>
          <w:p w:rsidR="00FD0CAA" w:rsidRPr="00E46D9B" w:rsidRDefault="00FD0CAA" w:rsidP="00FD0CAA">
            <w:pPr>
              <w:jc w:val="center"/>
            </w:pPr>
            <w:r w:rsidRPr="00E46D9B">
              <w:t>Объем внебюджетн</w:t>
            </w:r>
            <w:r>
              <w:t>ого</w:t>
            </w:r>
            <w:r w:rsidRPr="00E46D9B">
              <w:t xml:space="preserve"> </w:t>
            </w:r>
            <w:r>
              <w:t>финансирования</w:t>
            </w:r>
          </w:p>
        </w:tc>
        <w:tc>
          <w:tcPr>
            <w:tcW w:w="2126" w:type="dxa"/>
            <w:vAlign w:val="center"/>
          </w:tcPr>
          <w:p w:rsidR="00FD0CAA" w:rsidRPr="00C54F8E" w:rsidRDefault="00FD0CAA" w:rsidP="00FD0CAA">
            <w:pPr>
              <w:jc w:val="center"/>
              <w:rPr>
                <w:vertAlign w:val="superscript"/>
              </w:rPr>
            </w:pPr>
            <w:r>
              <w:t>Источник информации</w:t>
            </w:r>
            <w:r>
              <w:rPr>
                <w:vertAlign w:val="superscript"/>
              </w:rPr>
              <w:t>7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Pr="00E46D9B" w:rsidRDefault="00FD0CAA" w:rsidP="00FD0CAA">
            <w:r>
              <w:t>7</w:t>
            </w:r>
            <w:r w:rsidRPr="00E46D9B">
              <w:t>.1</w:t>
            </w:r>
          </w:p>
        </w:tc>
        <w:tc>
          <w:tcPr>
            <w:tcW w:w="4677" w:type="dxa"/>
            <w:vAlign w:val="center"/>
          </w:tcPr>
          <w:p w:rsidR="00FD0CAA" w:rsidRPr="00E46D9B" w:rsidRDefault="00FD0CAA" w:rsidP="00FD0CAA">
            <w:pPr>
              <w:ind w:left="175" w:right="20" w:firstLine="1"/>
              <w:jc w:val="both"/>
            </w:pPr>
            <w:r>
              <w:t>Внебюджетные средства в рамках государственных программ Российской Федерации</w:t>
            </w:r>
            <w:r w:rsidRPr="00E46D9B">
              <w:t xml:space="preserve"> 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7.2</w:t>
            </w:r>
          </w:p>
        </w:tc>
        <w:tc>
          <w:tcPr>
            <w:tcW w:w="4677" w:type="dxa"/>
            <w:vAlign w:val="center"/>
          </w:tcPr>
          <w:p w:rsidR="00FD0CAA" w:rsidRDefault="00FD0CAA" w:rsidP="00FD0CAA">
            <w:pPr>
              <w:ind w:left="175" w:right="20" w:firstLine="1"/>
              <w:jc w:val="both"/>
            </w:pPr>
            <w:r>
              <w:t>Внебюджетные средства в рамках механизма государственно-частного партнерства, в том числе в разрезе проектов, реализуемых на: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7.2.1</w:t>
            </w:r>
          </w:p>
        </w:tc>
        <w:tc>
          <w:tcPr>
            <w:tcW w:w="4677" w:type="dxa"/>
            <w:vAlign w:val="center"/>
          </w:tcPr>
          <w:p w:rsidR="00FD0CAA" w:rsidRDefault="00FD0CAA" w:rsidP="00FD0CAA">
            <w:pPr>
              <w:ind w:left="34" w:right="20" w:firstLine="142"/>
              <w:jc w:val="both"/>
            </w:pPr>
            <w:r>
              <w:t>Федеральном уровне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7.2.2</w:t>
            </w:r>
          </w:p>
        </w:tc>
        <w:tc>
          <w:tcPr>
            <w:tcW w:w="4677" w:type="dxa"/>
            <w:vAlign w:val="center"/>
          </w:tcPr>
          <w:p w:rsidR="00FD0CAA" w:rsidRDefault="00FD0CAA" w:rsidP="00FD0CAA">
            <w:pPr>
              <w:ind w:left="34" w:right="20" w:firstLine="142"/>
              <w:jc w:val="both"/>
            </w:pPr>
            <w:r>
              <w:t>Региональном уровне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7.2.3</w:t>
            </w:r>
          </w:p>
        </w:tc>
        <w:tc>
          <w:tcPr>
            <w:tcW w:w="4677" w:type="dxa"/>
            <w:vAlign w:val="center"/>
          </w:tcPr>
          <w:p w:rsidR="00FD0CAA" w:rsidRDefault="00FD0CAA" w:rsidP="00FD0CAA">
            <w:pPr>
              <w:ind w:left="34" w:right="20" w:firstLine="142"/>
              <w:jc w:val="both"/>
            </w:pPr>
            <w:r>
              <w:t>Муниципальном уровне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  <w:tr w:rsidR="00FD0CAA" w:rsidRPr="00E46D9B" w:rsidTr="00FD0CAA">
        <w:tc>
          <w:tcPr>
            <w:tcW w:w="959" w:type="dxa"/>
          </w:tcPr>
          <w:p w:rsidR="00FD0CAA" w:rsidRDefault="00FD0CAA" w:rsidP="00FD0CAA">
            <w:r>
              <w:t>7.3</w:t>
            </w:r>
          </w:p>
        </w:tc>
        <w:tc>
          <w:tcPr>
            <w:tcW w:w="4677" w:type="dxa"/>
            <w:vAlign w:val="center"/>
          </w:tcPr>
          <w:p w:rsidR="00FD0CAA" w:rsidRPr="00305AAB" w:rsidRDefault="00FD0CAA" w:rsidP="00FD0CAA">
            <w:pPr>
              <w:ind w:left="34" w:right="20" w:firstLine="142"/>
              <w:jc w:val="both"/>
              <w:rPr>
                <w:vertAlign w:val="superscript"/>
              </w:rPr>
            </w:pPr>
            <w:r>
              <w:t>Внебюджетные инвестиции</w:t>
            </w:r>
            <w:r>
              <w:rPr>
                <w:vertAlign w:val="superscript"/>
              </w:rPr>
              <w:t>8</w:t>
            </w:r>
          </w:p>
        </w:tc>
        <w:tc>
          <w:tcPr>
            <w:tcW w:w="1985" w:type="dxa"/>
            <w:vAlign w:val="center"/>
          </w:tcPr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D0CAA" w:rsidRDefault="00FD0CAA" w:rsidP="00FD0CAA">
            <w:pPr>
              <w:jc w:val="center"/>
            </w:pPr>
          </w:p>
          <w:p w:rsidR="00FD0CAA" w:rsidRPr="00E46D9B" w:rsidRDefault="00FD0CAA" w:rsidP="00FD0CAA">
            <w:pPr>
              <w:jc w:val="center"/>
            </w:pPr>
            <w:r>
              <w:t>-</w:t>
            </w:r>
          </w:p>
        </w:tc>
      </w:tr>
    </w:tbl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vertAlign w:val="superscript"/>
        </w:rPr>
      </w:pP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Pr="00E46D9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качестве источника информации может быть использована информация официальных статистических ведомств Российской Федерации, ведомственная статистика либо иная статистическая информация с указанием источника информации. </w:t>
      </w:r>
    </w:p>
    <w:p w:rsidR="00FD0CAA" w:rsidRDefault="00FD0CAA" w:rsidP="00FD0CAA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8</w:t>
      </w:r>
      <w:r w:rsidRPr="00E46D9B">
        <w:rPr>
          <w:sz w:val="22"/>
          <w:szCs w:val="22"/>
        </w:rPr>
        <w:t xml:space="preserve"> </w:t>
      </w:r>
      <w:r>
        <w:rPr>
          <w:sz w:val="22"/>
          <w:szCs w:val="22"/>
        </w:rPr>
        <w:t>К внебюджетным инвестициям относятся: собственные средства, кредиты банков, заемные средства других организаций, иностранные инвестиции, средства внебюджетных фондов, средства организаций и населения, средства вышестоящих организаций, средства от выпуска корпоративных облигаций, средства от эмиссий акций, направленные на развитие соответствующей сферы или отрасли экономики.</w:t>
      </w:r>
    </w:p>
    <w:p w:rsidR="00315474" w:rsidRDefault="00315474"/>
    <w:p w:rsidR="00B93A5A" w:rsidRDefault="00B93A5A"/>
    <w:p w:rsidR="00B93A5A" w:rsidRDefault="00B93A5A"/>
    <w:p w:rsidR="00B93A5A" w:rsidRDefault="00B93A5A"/>
    <w:p w:rsidR="00B93A5A" w:rsidRDefault="00B93A5A" w:rsidP="00B93A5A">
      <w:pPr>
        <w:jc w:val="center"/>
      </w:pPr>
      <w:r w:rsidRPr="00B93A5A">
        <w:t>[SIGNERSTAMP1]</w:t>
      </w:r>
    </w:p>
    <w:sectPr w:rsidR="00B93A5A" w:rsidSect="00C92103">
      <w:headerReference w:type="default" r:id="rId12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6A" w:rsidRDefault="0064696A" w:rsidP="00AD04C9">
      <w:r>
        <w:separator/>
      </w:r>
    </w:p>
  </w:endnote>
  <w:endnote w:type="continuationSeparator" w:id="0">
    <w:p w:rsidR="0064696A" w:rsidRDefault="0064696A" w:rsidP="00AD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6A" w:rsidRDefault="0064696A" w:rsidP="00AD04C9">
      <w:r>
        <w:separator/>
      </w:r>
    </w:p>
  </w:footnote>
  <w:footnote w:type="continuationSeparator" w:id="0">
    <w:p w:rsidR="0064696A" w:rsidRDefault="0064696A" w:rsidP="00AD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7925"/>
      <w:docPartObj>
        <w:docPartGallery w:val="Page Numbers (Top of Page)"/>
        <w:docPartUnique/>
      </w:docPartObj>
    </w:sdtPr>
    <w:sdtEndPr/>
    <w:sdtContent>
      <w:p w:rsidR="002A7DE8" w:rsidRDefault="00196538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50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7DE8" w:rsidRDefault="002A7D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F02B3"/>
    <w:multiLevelType w:val="hybridMultilevel"/>
    <w:tmpl w:val="9B34ACEC"/>
    <w:lvl w:ilvl="0" w:tplc="807216F2">
      <w:numFmt w:val="bullet"/>
      <w:lvlText w:val="˗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92D2356"/>
    <w:multiLevelType w:val="hybridMultilevel"/>
    <w:tmpl w:val="A3D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86"/>
    <w:rsid w:val="000005B4"/>
    <w:rsid w:val="000241A9"/>
    <w:rsid w:val="00041F28"/>
    <w:rsid w:val="00055DBA"/>
    <w:rsid w:val="00066530"/>
    <w:rsid w:val="000720BE"/>
    <w:rsid w:val="000756C5"/>
    <w:rsid w:val="000B20D0"/>
    <w:rsid w:val="000C0683"/>
    <w:rsid w:val="000C549A"/>
    <w:rsid w:val="000C5EEB"/>
    <w:rsid w:val="000D295F"/>
    <w:rsid w:val="000D673B"/>
    <w:rsid w:val="0010716C"/>
    <w:rsid w:val="0011410A"/>
    <w:rsid w:val="001158F0"/>
    <w:rsid w:val="0013377F"/>
    <w:rsid w:val="00141C3F"/>
    <w:rsid w:val="0014207A"/>
    <w:rsid w:val="001569CD"/>
    <w:rsid w:val="00157F23"/>
    <w:rsid w:val="00163000"/>
    <w:rsid w:val="00172BF8"/>
    <w:rsid w:val="001833E1"/>
    <w:rsid w:val="00196538"/>
    <w:rsid w:val="00196D91"/>
    <w:rsid w:val="001C2FAB"/>
    <w:rsid w:val="001C3FEA"/>
    <w:rsid w:val="001C47DA"/>
    <w:rsid w:val="001E33D0"/>
    <w:rsid w:val="00230395"/>
    <w:rsid w:val="002511AB"/>
    <w:rsid w:val="00263E09"/>
    <w:rsid w:val="00271CD9"/>
    <w:rsid w:val="00277384"/>
    <w:rsid w:val="0027764D"/>
    <w:rsid w:val="002857D2"/>
    <w:rsid w:val="002A7DE8"/>
    <w:rsid w:val="002C311D"/>
    <w:rsid w:val="002D3DA6"/>
    <w:rsid w:val="002E50F2"/>
    <w:rsid w:val="002F0B19"/>
    <w:rsid w:val="002F34BE"/>
    <w:rsid w:val="00304897"/>
    <w:rsid w:val="00304A27"/>
    <w:rsid w:val="0030515D"/>
    <w:rsid w:val="0031268D"/>
    <w:rsid w:val="00314AB1"/>
    <w:rsid w:val="00314B71"/>
    <w:rsid w:val="00315474"/>
    <w:rsid w:val="00321EF7"/>
    <w:rsid w:val="003355ED"/>
    <w:rsid w:val="00351E71"/>
    <w:rsid w:val="00354CC3"/>
    <w:rsid w:val="00354EEC"/>
    <w:rsid w:val="003744BF"/>
    <w:rsid w:val="00396278"/>
    <w:rsid w:val="003A5B27"/>
    <w:rsid w:val="003A7DCC"/>
    <w:rsid w:val="003B1C37"/>
    <w:rsid w:val="003B3F5F"/>
    <w:rsid w:val="003C6584"/>
    <w:rsid w:val="003E0AEC"/>
    <w:rsid w:val="003F3406"/>
    <w:rsid w:val="003F4A82"/>
    <w:rsid w:val="00410100"/>
    <w:rsid w:val="004159B8"/>
    <w:rsid w:val="00415E39"/>
    <w:rsid w:val="00431F0F"/>
    <w:rsid w:val="00433AC4"/>
    <w:rsid w:val="0044365D"/>
    <w:rsid w:val="004454D9"/>
    <w:rsid w:val="00450C5A"/>
    <w:rsid w:val="0048681F"/>
    <w:rsid w:val="00491357"/>
    <w:rsid w:val="004957FA"/>
    <w:rsid w:val="004973D5"/>
    <w:rsid w:val="004A5B7E"/>
    <w:rsid w:val="004A7C04"/>
    <w:rsid w:val="004B6914"/>
    <w:rsid w:val="004E080A"/>
    <w:rsid w:val="004E128B"/>
    <w:rsid w:val="004F0A88"/>
    <w:rsid w:val="004F0F49"/>
    <w:rsid w:val="004F78A7"/>
    <w:rsid w:val="00502DD7"/>
    <w:rsid w:val="00505724"/>
    <w:rsid w:val="00523001"/>
    <w:rsid w:val="005310D5"/>
    <w:rsid w:val="00532534"/>
    <w:rsid w:val="005610FB"/>
    <w:rsid w:val="00572322"/>
    <w:rsid w:val="0057533A"/>
    <w:rsid w:val="00580353"/>
    <w:rsid w:val="00596146"/>
    <w:rsid w:val="005A0FE1"/>
    <w:rsid w:val="005A1D87"/>
    <w:rsid w:val="005A43A1"/>
    <w:rsid w:val="005B42B5"/>
    <w:rsid w:val="005B48E2"/>
    <w:rsid w:val="005B619A"/>
    <w:rsid w:val="005E1165"/>
    <w:rsid w:val="005E317F"/>
    <w:rsid w:val="005F3D29"/>
    <w:rsid w:val="00606A6C"/>
    <w:rsid w:val="0061168C"/>
    <w:rsid w:val="00620C65"/>
    <w:rsid w:val="00627BCB"/>
    <w:rsid w:val="006325D6"/>
    <w:rsid w:val="0064508B"/>
    <w:rsid w:val="0064696A"/>
    <w:rsid w:val="00647769"/>
    <w:rsid w:val="006673C3"/>
    <w:rsid w:val="006759B5"/>
    <w:rsid w:val="00675EF7"/>
    <w:rsid w:val="006A26A1"/>
    <w:rsid w:val="006B478C"/>
    <w:rsid w:val="006B4EF1"/>
    <w:rsid w:val="006B7386"/>
    <w:rsid w:val="006C35A7"/>
    <w:rsid w:val="006D26B3"/>
    <w:rsid w:val="006E431F"/>
    <w:rsid w:val="00704A5C"/>
    <w:rsid w:val="00704FF7"/>
    <w:rsid w:val="00713F54"/>
    <w:rsid w:val="007174AF"/>
    <w:rsid w:val="00727BD8"/>
    <w:rsid w:val="00730DB1"/>
    <w:rsid w:val="00752237"/>
    <w:rsid w:val="007527FD"/>
    <w:rsid w:val="00767A72"/>
    <w:rsid w:val="00771535"/>
    <w:rsid w:val="00777028"/>
    <w:rsid w:val="00784EDA"/>
    <w:rsid w:val="007A1B12"/>
    <w:rsid w:val="007B478E"/>
    <w:rsid w:val="007F5015"/>
    <w:rsid w:val="00801E71"/>
    <w:rsid w:val="0081459E"/>
    <w:rsid w:val="00840A78"/>
    <w:rsid w:val="0084201A"/>
    <w:rsid w:val="00843748"/>
    <w:rsid w:val="00847296"/>
    <w:rsid w:val="00852A2E"/>
    <w:rsid w:val="00853358"/>
    <w:rsid w:val="008833CA"/>
    <w:rsid w:val="00886AD9"/>
    <w:rsid w:val="008D2EE2"/>
    <w:rsid w:val="00917B77"/>
    <w:rsid w:val="00942BAE"/>
    <w:rsid w:val="00966CB6"/>
    <w:rsid w:val="0097033D"/>
    <w:rsid w:val="00973955"/>
    <w:rsid w:val="00983F8B"/>
    <w:rsid w:val="00985AAF"/>
    <w:rsid w:val="009900AF"/>
    <w:rsid w:val="009A59D5"/>
    <w:rsid w:val="009B4C41"/>
    <w:rsid w:val="009C165A"/>
    <w:rsid w:val="009D5B14"/>
    <w:rsid w:val="009F698B"/>
    <w:rsid w:val="00A002B6"/>
    <w:rsid w:val="00A118EB"/>
    <w:rsid w:val="00A474A2"/>
    <w:rsid w:val="00A60799"/>
    <w:rsid w:val="00A672D5"/>
    <w:rsid w:val="00A73359"/>
    <w:rsid w:val="00A75DF4"/>
    <w:rsid w:val="00A86D2F"/>
    <w:rsid w:val="00AD04C9"/>
    <w:rsid w:val="00AD24AE"/>
    <w:rsid w:val="00AD7348"/>
    <w:rsid w:val="00AE09D3"/>
    <w:rsid w:val="00AF5323"/>
    <w:rsid w:val="00B10E59"/>
    <w:rsid w:val="00B129F0"/>
    <w:rsid w:val="00B20FB3"/>
    <w:rsid w:val="00B214B9"/>
    <w:rsid w:val="00B22BF6"/>
    <w:rsid w:val="00B4150D"/>
    <w:rsid w:val="00B4401A"/>
    <w:rsid w:val="00B674F6"/>
    <w:rsid w:val="00B914CA"/>
    <w:rsid w:val="00B93A5A"/>
    <w:rsid w:val="00B94D2C"/>
    <w:rsid w:val="00BA2FF6"/>
    <w:rsid w:val="00BA5690"/>
    <w:rsid w:val="00BB2197"/>
    <w:rsid w:val="00BB2D16"/>
    <w:rsid w:val="00BC1F17"/>
    <w:rsid w:val="00BC5D32"/>
    <w:rsid w:val="00BE2F13"/>
    <w:rsid w:val="00C31B13"/>
    <w:rsid w:val="00C608A1"/>
    <w:rsid w:val="00C609DB"/>
    <w:rsid w:val="00C61C86"/>
    <w:rsid w:val="00C81640"/>
    <w:rsid w:val="00C92103"/>
    <w:rsid w:val="00CA03F6"/>
    <w:rsid w:val="00CB12D2"/>
    <w:rsid w:val="00CB227C"/>
    <w:rsid w:val="00CD478C"/>
    <w:rsid w:val="00CD4C89"/>
    <w:rsid w:val="00CE48E3"/>
    <w:rsid w:val="00CE57F5"/>
    <w:rsid w:val="00D0091D"/>
    <w:rsid w:val="00D109A9"/>
    <w:rsid w:val="00D10A00"/>
    <w:rsid w:val="00D10A81"/>
    <w:rsid w:val="00D74E36"/>
    <w:rsid w:val="00D83E18"/>
    <w:rsid w:val="00D849C6"/>
    <w:rsid w:val="00D92ABC"/>
    <w:rsid w:val="00D947D0"/>
    <w:rsid w:val="00DA1769"/>
    <w:rsid w:val="00DA5E65"/>
    <w:rsid w:val="00DB3614"/>
    <w:rsid w:val="00E02A44"/>
    <w:rsid w:val="00E05246"/>
    <w:rsid w:val="00E05DA6"/>
    <w:rsid w:val="00E10A8E"/>
    <w:rsid w:val="00E45820"/>
    <w:rsid w:val="00E523BC"/>
    <w:rsid w:val="00E54CCA"/>
    <w:rsid w:val="00E63008"/>
    <w:rsid w:val="00E70CBB"/>
    <w:rsid w:val="00E71E08"/>
    <w:rsid w:val="00E90DAB"/>
    <w:rsid w:val="00E92AA6"/>
    <w:rsid w:val="00EA1846"/>
    <w:rsid w:val="00EB4CB9"/>
    <w:rsid w:val="00EC109A"/>
    <w:rsid w:val="00EE1F09"/>
    <w:rsid w:val="00EF2497"/>
    <w:rsid w:val="00EF72CF"/>
    <w:rsid w:val="00F00490"/>
    <w:rsid w:val="00F3522B"/>
    <w:rsid w:val="00F408B8"/>
    <w:rsid w:val="00F52263"/>
    <w:rsid w:val="00F635B8"/>
    <w:rsid w:val="00F67952"/>
    <w:rsid w:val="00F83D69"/>
    <w:rsid w:val="00F85B0D"/>
    <w:rsid w:val="00FA19EE"/>
    <w:rsid w:val="00FA5A0F"/>
    <w:rsid w:val="00FA7A02"/>
    <w:rsid w:val="00FD0A0A"/>
    <w:rsid w:val="00FD0CAA"/>
    <w:rsid w:val="00FD1CC2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D8310-7811-41DE-9BC8-BB522412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B7386"/>
    <w:pPr>
      <w:ind w:left="720"/>
    </w:pPr>
  </w:style>
  <w:style w:type="character" w:customStyle="1" w:styleId="a5">
    <w:name w:val="Абзац списка Знак"/>
    <w:link w:val="a4"/>
    <w:uiPriority w:val="34"/>
    <w:locked/>
    <w:rsid w:val="006B7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AD04C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D04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AD04C9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355E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5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355ED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744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744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4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744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44BF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495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273A95FB9A6BCEEB04A6AE63B3F942B14B2584CB2DB0C26309029DB4D5A74369BE541D9EEA642G7v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176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273A95FB9A6BCEEB04A6AE63B3F942B14B2584CB2DB0C26309029DB4D5A74369BE541D9EEA642G7v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972D7-08B2-4DAB-9F90-0125AE24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Брыскина Любовь Николаевна</dc:creator>
  <cp:lastModifiedBy>Брыскина Любовь Николаевна</cp:lastModifiedBy>
  <cp:revision>15</cp:revision>
  <cp:lastPrinted>2017-09-11T14:40:00Z</cp:lastPrinted>
  <dcterms:created xsi:type="dcterms:W3CDTF">2022-05-24T12:17:00Z</dcterms:created>
  <dcterms:modified xsi:type="dcterms:W3CDTF">2022-05-26T07:02:00Z</dcterms:modified>
</cp:coreProperties>
</file>