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3" w:rsidRPr="004B6914" w:rsidRDefault="00CE57F5" w:rsidP="00C31B1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="00C31B13" w:rsidRPr="004B6914">
        <w:rPr>
          <w:b/>
          <w:sz w:val="28"/>
          <w:szCs w:val="28"/>
        </w:rPr>
        <w:t xml:space="preserve"> Министерства труда и социальной защиты </w:t>
      </w:r>
    </w:p>
    <w:p w:rsidR="00C31B13" w:rsidRPr="004B6914" w:rsidRDefault="00C31B13" w:rsidP="00C31B13">
      <w:pPr>
        <w:pStyle w:val="a4"/>
        <w:ind w:left="0"/>
        <w:jc w:val="center"/>
        <w:rPr>
          <w:b/>
          <w:sz w:val="28"/>
          <w:szCs w:val="28"/>
        </w:rPr>
      </w:pPr>
      <w:r w:rsidRPr="004B6914">
        <w:rPr>
          <w:b/>
          <w:sz w:val="28"/>
          <w:szCs w:val="28"/>
        </w:rPr>
        <w:t>Российской Федерации о реализации отраслевых</w:t>
      </w:r>
    </w:p>
    <w:p w:rsidR="006B7386" w:rsidRPr="004B6914" w:rsidRDefault="00C31B13" w:rsidP="00C31B13">
      <w:pPr>
        <w:pStyle w:val="a4"/>
        <w:ind w:left="0"/>
        <w:jc w:val="center"/>
        <w:rPr>
          <w:b/>
          <w:sz w:val="28"/>
          <w:szCs w:val="28"/>
        </w:rPr>
      </w:pPr>
      <w:r w:rsidRPr="004B6914">
        <w:rPr>
          <w:b/>
          <w:sz w:val="28"/>
          <w:szCs w:val="28"/>
        </w:rPr>
        <w:t>документов стратегического планирования</w:t>
      </w:r>
      <w:r w:rsidR="004B6914" w:rsidRPr="004B6914">
        <w:rPr>
          <w:b/>
          <w:sz w:val="28"/>
          <w:szCs w:val="28"/>
        </w:rPr>
        <w:t xml:space="preserve"> </w:t>
      </w:r>
    </w:p>
    <w:p w:rsidR="006B7386" w:rsidRDefault="006B7386" w:rsidP="006B7386">
      <w:pPr>
        <w:pStyle w:val="a4"/>
        <w:ind w:left="0"/>
        <w:jc w:val="center"/>
        <w:rPr>
          <w:sz w:val="28"/>
          <w:szCs w:val="28"/>
        </w:rPr>
      </w:pPr>
    </w:p>
    <w:p w:rsidR="00E71E08" w:rsidRDefault="001D0FF9" w:rsidP="00D009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8" w:history="1">
        <w:r w:rsidR="00D0091D" w:rsidRPr="00D0091D">
          <w:rPr>
            <w:b/>
            <w:sz w:val="28"/>
            <w:szCs w:val="28"/>
          </w:rPr>
          <w:t>Стратеги</w:t>
        </w:r>
      </w:hyperlink>
      <w:r w:rsidR="00D0091D" w:rsidRPr="00D0091D">
        <w:rPr>
          <w:b/>
          <w:sz w:val="28"/>
          <w:szCs w:val="28"/>
        </w:rPr>
        <w:t xml:space="preserve">я долгосрочного развития пенсионной </w:t>
      </w:r>
    </w:p>
    <w:p w:rsidR="00D0091D" w:rsidRPr="00D0091D" w:rsidRDefault="00D0091D" w:rsidP="00D0091D">
      <w:pPr>
        <w:autoSpaceDE w:val="0"/>
        <w:autoSpaceDN w:val="0"/>
        <w:adjustRightInd w:val="0"/>
        <w:ind w:firstLine="540"/>
        <w:jc w:val="center"/>
        <w:rPr>
          <w:b/>
          <w:color w:val="FFFFFF" w:themeColor="background1"/>
          <w:sz w:val="28"/>
          <w:szCs w:val="28"/>
          <w:u w:val="single"/>
        </w:rPr>
      </w:pPr>
      <w:r w:rsidRPr="00D0091D">
        <w:rPr>
          <w:b/>
          <w:sz w:val="28"/>
          <w:szCs w:val="28"/>
        </w:rPr>
        <w:t>системы Российской Федерации</w:t>
      </w:r>
      <w:r>
        <w:rPr>
          <w:b/>
          <w:sz w:val="28"/>
          <w:szCs w:val="28"/>
        </w:rPr>
        <w:t>.</w:t>
      </w:r>
    </w:p>
    <w:p w:rsidR="00D0091D" w:rsidRPr="00D0091D" w:rsidRDefault="00D0091D" w:rsidP="00D0091D">
      <w:pPr>
        <w:pStyle w:val="a4"/>
        <w:ind w:left="0"/>
        <w:jc w:val="both"/>
        <w:rPr>
          <w:sz w:val="28"/>
          <w:szCs w:val="28"/>
        </w:rPr>
      </w:pPr>
    </w:p>
    <w:p w:rsidR="00DB3614" w:rsidRPr="00E46D9B" w:rsidRDefault="00DB3614" w:rsidP="00DB3614">
      <w:pPr>
        <w:pStyle w:val="a4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1. Общая информация об отраслевом документе стратегического планирования Российской Федерации по вопросам, находящимся в ведении Правительства Российской Федерации (далее – отраслевой документ стратегического планирования)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540"/>
      </w:tblGrid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№ п/п</w:t>
            </w:r>
          </w:p>
        </w:tc>
        <w:tc>
          <w:tcPr>
            <w:tcW w:w="8822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Содержание раздела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1.1</w:t>
            </w:r>
          </w:p>
        </w:tc>
        <w:tc>
          <w:tcPr>
            <w:tcW w:w="8822" w:type="dxa"/>
            <w:vAlign w:val="center"/>
          </w:tcPr>
          <w:p w:rsidR="0027764D" w:rsidRDefault="00DB3614" w:rsidP="0027764D">
            <w:pPr>
              <w:jc w:val="center"/>
            </w:pPr>
            <w:r w:rsidRPr="00E46D9B">
              <w:rPr>
                <w:color w:val="FFFFFF" w:themeColor="background1"/>
              </w:rPr>
              <w:t>1</w:t>
            </w:r>
            <w:r>
              <w:t xml:space="preserve"> </w:t>
            </w:r>
            <w:r w:rsidR="0027764D" w:rsidRPr="00E46D9B">
              <w:t>Наименование отраслевого документа стратегического планирования:</w:t>
            </w:r>
          </w:p>
          <w:p w:rsidR="00230395" w:rsidRPr="00505724" w:rsidRDefault="00230395" w:rsidP="0027764D">
            <w:pPr>
              <w:jc w:val="center"/>
              <w:rPr>
                <w:sz w:val="16"/>
                <w:szCs w:val="16"/>
              </w:rPr>
            </w:pPr>
          </w:p>
          <w:p w:rsidR="00230395" w:rsidRDefault="0027764D" w:rsidP="00230395">
            <w:pPr>
              <w:autoSpaceDE w:val="0"/>
              <w:autoSpaceDN w:val="0"/>
              <w:adjustRightInd w:val="0"/>
              <w:ind w:firstLine="37"/>
              <w:jc w:val="center"/>
              <w:rPr>
                <w:u w:val="single"/>
              </w:rPr>
            </w:pPr>
            <w:r w:rsidRPr="00230395">
              <w:rPr>
                <w:color w:val="FFFFFF" w:themeColor="background1"/>
                <w:u w:val="single"/>
              </w:rPr>
              <w:t>1</w:t>
            </w:r>
            <w:hyperlink r:id="rId9" w:history="1">
              <w:r w:rsidRPr="006A26A1">
                <w:t>Стратеги</w:t>
              </w:r>
            </w:hyperlink>
            <w:r w:rsidRPr="006A26A1">
              <w:t>я долгосрочного развития пенсионной</w:t>
            </w:r>
          </w:p>
          <w:p w:rsidR="0027764D" w:rsidRPr="00230395" w:rsidRDefault="0027764D" w:rsidP="00230395">
            <w:pPr>
              <w:autoSpaceDE w:val="0"/>
              <w:autoSpaceDN w:val="0"/>
              <w:adjustRightInd w:val="0"/>
              <w:ind w:firstLine="37"/>
              <w:jc w:val="center"/>
              <w:rPr>
                <w:color w:val="FFFFFF" w:themeColor="background1"/>
                <w:u w:val="single"/>
              </w:rPr>
            </w:pPr>
            <w:r w:rsidRPr="00230395">
              <w:rPr>
                <w:u w:val="single"/>
              </w:rPr>
              <w:t>системы Российской Федерации</w:t>
            </w:r>
            <w:r w:rsidRPr="00230395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27764D" w:rsidP="00230395">
            <w:pPr>
              <w:autoSpaceDE w:val="0"/>
              <w:autoSpaceDN w:val="0"/>
              <w:adjustRightInd w:val="0"/>
              <w:ind w:firstLine="540"/>
              <w:jc w:val="center"/>
            </w:pPr>
            <w:r w:rsidRPr="00E46D9B">
              <w:t>(указывается наименование)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1.2</w:t>
            </w:r>
          </w:p>
        </w:tc>
        <w:tc>
          <w:tcPr>
            <w:tcW w:w="8822" w:type="dxa"/>
            <w:vAlign w:val="center"/>
          </w:tcPr>
          <w:p w:rsidR="00EB4CB9" w:rsidRDefault="00EB4CB9" w:rsidP="00EB4CB9">
            <w:pPr>
              <w:jc w:val="center"/>
            </w:pPr>
            <w:r w:rsidRPr="00E46D9B">
              <w:t>Реквизиты акта, которым утвержден отраслевой документ стратегического планирования:</w:t>
            </w:r>
          </w:p>
          <w:p w:rsidR="00704FF7" w:rsidRDefault="00704FF7" w:rsidP="00EB4CB9">
            <w:pPr>
              <w:jc w:val="center"/>
            </w:pPr>
          </w:p>
          <w:p w:rsidR="00EB4CB9" w:rsidRPr="006A26A1" w:rsidRDefault="00704FF7" w:rsidP="00EB4CB9">
            <w:pPr>
              <w:autoSpaceDE w:val="0"/>
              <w:autoSpaceDN w:val="0"/>
              <w:adjustRightInd w:val="0"/>
              <w:jc w:val="center"/>
              <w:outlineLvl w:val="0"/>
            </w:pPr>
            <w:r w:rsidRPr="006A26A1">
              <w:t>Р</w:t>
            </w:r>
            <w:r w:rsidR="00EB4CB9" w:rsidRPr="006A26A1">
              <w:t>аспоряжение Правительства Российской Федерации</w:t>
            </w:r>
          </w:p>
          <w:p w:rsidR="00EB4CB9" w:rsidRPr="00EB4CB9" w:rsidRDefault="00EB4CB9" w:rsidP="00EB4CB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B4CB9">
              <w:rPr>
                <w:u w:val="single"/>
              </w:rPr>
              <w:t xml:space="preserve">от 25 декабря 2012 г. </w:t>
            </w:r>
            <w:r w:rsidR="000005B4">
              <w:rPr>
                <w:u w:val="single"/>
              </w:rPr>
              <w:t>№</w:t>
            </w:r>
            <w:r w:rsidRPr="00EB4CB9">
              <w:rPr>
                <w:u w:val="single"/>
              </w:rPr>
              <w:t xml:space="preserve"> 2524-р</w:t>
            </w:r>
          </w:p>
          <w:p w:rsidR="00DB3614" w:rsidRPr="00E46D9B" w:rsidRDefault="00EB4CB9" w:rsidP="00EB4CB9">
            <w:pPr>
              <w:autoSpaceDE w:val="0"/>
              <w:autoSpaceDN w:val="0"/>
              <w:adjustRightInd w:val="0"/>
              <w:jc w:val="center"/>
              <w:outlineLvl w:val="0"/>
            </w:pPr>
            <w:r w:rsidRPr="00E46D9B">
              <w:t>(указываются полное название, номер и дата акта)</w:t>
            </w:r>
            <w:r w:rsidRPr="00E46D9B">
              <w:rPr>
                <w:color w:val="FFFFFF" w:themeColor="background1"/>
              </w:rPr>
              <w:t xml:space="preserve"> </w:t>
            </w:r>
            <w:r w:rsidR="00DB3614" w:rsidRPr="00E46D9B">
              <w:rPr>
                <w:color w:val="FFFFFF" w:themeColor="background1"/>
              </w:rPr>
              <w:t>1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1.3</w:t>
            </w:r>
          </w:p>
        </w:tc>
        <w:tc>
          <w:tcPr>
            <w:tcW w:w="8822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>Федеральный орган исполнительной власти (далее – разработчик):</w:t>
            </w:r>
          </w:p>
          <w:p w:rsidR="00304A27" w:rsidRPr="00304A27" w:rsidRDefault="00DB3614" w:rsidP="00DB3614">
            <w:pPr>
              <w:jc w:val="center"/>
              <w:rPr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 xml:space="preserve">Минсиетсов труда и социальной защиты Российской Федерации </w:t>
            </w:r>
            <w:r w:rsidRPr="00E46D9B">
              <w:rPr>
                <w:u w:val="single"/>
              </w:rPr>
              <w:t xml:space="preserve">                                                                                  </w:t>
            </w:r>
            <w:r>
              <w:rPr>
                <w:u w:val="single"/>
              </w:rPr>
              <w:t xml:space="preserve">                               </w:t>
            </w:r>
            <w:r w:rsidRPr="00304A27">
              <w:rPr>
                <w:u w:val="single"/>
              </w:rPr>
              <w:t xml:space="preserve">Министерство труда и социальной защиты Российской Федерации </w:t>
            </w:r>
          </w:p>
          <w:p w:rsidR="00DB3614" w:rsidRPr="00E46D9B" w:rsidRDefault="00DB3614" w:rsidP="00DB3614">
            <w:pPr>
              <w:jc w:val="center"/>
            </w:pPr>
            <w:r w:rsidRPr="00304A27">
              <w:rPr>
                <w:u w:val="single"/>
              </w:rPr>
              <w:t>(Минтруд России)</w:t>
            </w:r>
            <w:r w:rsidRPr="00304A27">
              <w:rPr>
                <w:color w:val="FFFFFF" w:themeColor="background1"/>
                <w:u w:val="single"/>
              </w:rPr>
              <w:t>1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1.4</w:t>
            </w:r>
          </w:p>
        </w:tc>
        <w:tc>
          <w:tcPr>
            <w:tcW w:w="8822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>Федеральные органы исполнительной власти – соисполнители: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(указываются полное и краткое наименования)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1.5</w:t>
            </w:r>
          </w:p>
        </w:tc>
        <w:tc>
          <w:tcPr>
            <w:tcW w:w="8822" w:type="dxa"/>
            <w:vAlign w:val="center"/>
          </w:tcPr>
          <w:p w:rsidR="00DB3614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>
              <w:t>Отчетный г</w:t>
            </w:r>
            <w:r w:rsidRPr="00E46D9B">
              <w:t>од, за который представляется доклад о реализации отраслевого документа стратегического планирования:</w:t>
            </w:r>
            <w:r>
              <w:t xml:space="preserve"> </w:t>
            </w:r>
            <w:r w:rsidRPr="00E46D9B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20162201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704FF7" w:rsidRDefault="00DB3614" w:rsidP="009A7D9E">
            <w:pPr>
              <w:jc w:val="center"/>
              <w:rPr>
                <w:u w:val="single"/>
              </w:rPr>
            </w:pPr>
            <w:r w:rsidRPr="00704FF7">
              <w:rPr>
                <w:u w:val="single"/>
              </w:rPr>
              <w:t>20</w:t>
            </w:r>
            <w:r w:rsidR="00502DD7">
              <w:rPr>
                <w:u w:val="single"/>
              </w:rPr>
              <w:t>2</w:t>
            </w:r>
            <w:r w:rsidR="009A7D9E">
              <w:rPr>
                <w:u w:val="single"/>
              </w:rPr>
              <w:t>2</w:t>
            </w:r>
            <w:r w:rsidRPr="00704FF7">
              <w:rPr>
                <w:u w:val="single"/>
              </w:rPr>
              <w:t xml:space="preserve"> г.</w:t>
            </w:r>
          </w:p>
        </w:tc>
      </w:tr>
    </w:tbl>
    <w:p w:rsidR="00DB3614" w:rsidRDefault="00DB3614" w:rsidP="00DB3614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</w:p>
    <w:p w:rsidR="00DB3614" w:rsidRDefault="00DB3614" w:rsidP="00DB3614">
      <w:pPr>
        <w:pStyle w:val="a4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2. Аналитическая справка о реализации отраслевого докумен</w:t>
      </w:r>
      <w:r>
        <w:rPr>
          <w:sz w:val="28"/>
          <w:szCs w:val="28"/>
        </w:rPr>
        <w:t>та стратегического планирования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8404"/>
      </w:tblGrid>
      <w:tr w:rsidR="00F3522B" w:rsidRPr="00E46D9B" w:rsidTr="00C92103">
        <w:tc>
          <w:tcPr>
            <w:tcW w:w="833" w:type="dxa"/>
            <w:vAlign w:val="center"/>
          </w:tcPr>
          <w:p w:rsidR="00F3522B" w:rsidRPr="00E46D9B" w:rsidRDefault="00F3522B" w:rsidP="00F3522B">
            <w:pPr>
              <w:jc w:val="both"/>
            </w:pPr>
            <w:r w:rsidRPr="00E46D9B">
              <w:t>№ п/п</w:t>
            </w:r>
          </w:p>
        </w:tc>
        <w:tc>
          <w:tcPr>
            <w:tcW w:w="8404" w:type="dxa"/>
            <w:vAlign w:val="center"/>
          </w:tcPr>
          <w:p w:rsidR="00F3522B" w:rsidRPr="00E46D9B" w:rsidRDefault="00F3522B" w:rsidP="00F3522B">
            <w:pPr>
              <w:jc w:val="center"/>
            </w:pPr>
            <w:r>
              <w:t>Содержание раздела</w:t>
            </w:r>
          </w:p>
        </w:tc>
      </w:tr>
      <w:tr w:rsidR="00F3522B" w:rsidRPr="00E46D9B" w:rsidTr="00C92103">
        <w:tc>
          <w:tcPr>
            <w:tcW w:w="833" w:type="dxa"/>
          </w:tcPr>
          <w:p w:rsidR="00F3522B" w:rsidRPr="00E46D9B" w:rsidRDefault="00F3522B" w:rsidP="00F352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46D9B">
              <w:t>2.1</w:t>
            </w:r>
          </w:p>
        </w:tc>
        <w:tc>
          <w:tcPr>
            <w:tcW w:w="8404" w:type="dxa"/>
            <w:vAlign w:val="center"/>
          </w:tcPr>
          <w:p w:rsidR="00B20FB3" w:rsidRDefault="00F3522B" w:rsidP="00F3522B">
            <w:pPr>
              <w:jc w:val="center"/>
            </w:pPr>
            <w:r>
              <w:t>Описание динамики показателей отраслевого документа стратегического планирования, отраженных в пункте 5 настоящей формы:</w:t>
            </w:r>
          </w:p>
          <w:p w:rsidR="00F3522B" w:rsidRPr="00E46D9B" w:rsidRDefault="00F3522B" w:rsidP="00F3522B">
            <w:pPr>
              <w:jc w:val="center"/>
            </w:pPr>
            <w:r>
              <w:t xml:space="preserve"> </w:t>
            </w:r>
          </w:p>
          <w:p w:rsidR="00F3522B" w:rsidRPr="00F635B8" w:rsidRDefault="000005B4" w:rsidP="00DA1769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u w:val="single"/>
              </w:rPr>
            </w:pPr>
            <w:r>
              <w:rPr>
                <w:u w:val="single"/>
              </w:rPr>
              <w:t>П</w:t>
            </w:r>
            <w:r w:rsidR="00FD1CC2" w:rsidRPr="00FD1CC2">
              <w:rPr>
                <w:u w:val="single"/>
              </w:rPr>
              <w:t>оложительная динамика</w:t>
            </w:r>
            <w:r w:rsidR="00B93A5A">
              <w:rPr>
                <w:u w:val="single"/>
              </w:rPr>
              <w:t xml:space="preserve"> (увеличение)</w:t>
            </w:r>
            <w:r w:rsidR="00FD1CC2" w:rsidRPr="00FD1CC2">
              <w:rPr>
                <w:u w:val="single"/>
              </w:rPr>
              <w:t xml:space="preserve"> показателя среднего</w:t>
            </w:r>
            <w:r w:rsidR="00917B77">
              <w:rPr>
                <w:u w:val="single"/>
              </w:rPr>
              <w:t xml:space="preserve">дового </w:t>
            </w:r>
            <w:r w:rsidR="00FD1CC2" w:rsidRPr="00F635B8">
              <w:rPr>
                <w:u w:val="single"/>
              </w:rPr>
              <w:t xml:space="preserve">размера </w:t>
            </w:r>
            <w:r w:rsidR="009900AF" w:rsidRPr="009900AF">
              <w:rPr>
                <w:rFonts w:eastAsiaTheme="minorHAnsi"/>
                <w:u w:val="single"/>
                <w:lang w:eastAsia="en-US"/>
              </w:rPr>
              <w:t xml:space="preserve">страховой пенсии по старости неработающих пенсионеров </w:t>
            </w:r>
            <w:r w:rsidR="00F3522B" w:rsidRPr="00F635B8">
              <w:rPr>
                <w:color w:val="FFFFFF" w:themeColor="background1"/>
                <w:u w:val="single"/>
              </w:rPr>
              <w:t>1</w:t>
            </w:r>
          </w:p>
          <w:p w:rsidR="00F3522B" w:rsidRPr="00E46D9B" w:rsidRDefault="00F3522B" w:rsidP="00F3522B">
            <w:pPr>
              <w:jc w:val="center"/>
            </w:pPr>
            <w:r w:rsidRPr="00E46D9B">
              <w:t>(</w:t>
            </w:r>
            <w:r>
              <w:t>представляются описания изменений показателей</w:t>
            </w:r>
            <w:r w:rsidRPr="00E46D9B">
              <w:t>)</w:t>
            </w:r>
          </w:p>
        </w:tc>
      </w:tr>
      <w:tr w:rsidR="00F3522B" w:rsidRPr="00E46D9B" w:rsidTr="00C92103">
        <w:tc>
          <w:tcPr>
            <w:tcW w:w="833" w:type="dxa"/>
          </w:tcPr>
          <w:p w:rsidR="00F3522B" w:rsidRPr="00E46D9B" w:rsidRDefault="00F3522B" w:rsidP="00F352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46D9B">
              <w:t>2.</w:t>
            </w:r>
            <w:r>
              <w:t>2</w:t>
            </w:r>
          </w:p>
        </w:tc>
        <w:tc>
          <w:tcPr>
            <w:tcW w:w="8404" w:type="dxa"/>
          </w:tcPr>
          <w:p w:rsidR="00304A27" w:rsidRDefault="00304A27" w:rsidP="00304A27">
            <w:pPr>
              <w:jc w:val="center"/>
            </w:pPr>
            <w:r w:rsidRPr="00E46D9B">
              <w:t>Оценка эффективности действующих мер</w:t>
            </w:r>
            <w:r>
              <w:t xml:space="preserve"> государственного регулирования</w:t>
            </w:r>
            <w:r>
              <w:br/>
            </w:r>
            <w:r w:rsidRPr="00E46D9B">
              <w:t>в описываемой сфере или отрасли экономики</w:t>
            </w:r>
            <w:r>
              <w:rPr>
                <w:vertAlign w:val="superscript"/>
              </w:rPr>
              <w:t>1</w:t>
            </w:r>
            <w:r w:rsidRPr="00E46D9B">
              <w:t>:</w:t>
            </w:r>
          </w:p>
          <w:p w:rsidR="001C2FAB" w:rsidRPr="00E46D9B" w:rsidRDefault="001C2FAB" w:rsidP="00304A27">
            <w:pPr>
              <w:jc w:val="center"/>
            </w:pP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lastRenderedPageBreak/>
              <w:t xml:space="preserve">Стратегия определяет на период до 2030 г. социальные приоритеты и ориентиры, а также механизмы государственной политики в сфере пенсионного страхования на отдельных этапах ее реализации. </w:t>
            </w:r>
          </w:p>
          <w:p w:rsid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Распоряжением Правительства Российской Федерации от 25 декабря 2012 г. № 2524</w:t>
            </w:r>
            <w:r w:rsidRPr="001C2FAB">
              <w:rPr>
                <w:bCs/>
                <w:u w:val="single"/>
                <w:lang w:bidi="ru-RU"/>
              </w:rPr>
              <w:noBreakHyphen/>
              <w:t xml:space="preserve">р утвержден план-график подготовки проектов федеральных законов по реализации Стратегии, содержащий 14 мероприятий, которые осуществлялись в 3 этапа. </w:t>
            </w: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В целях реализации Стратегии и плана-графика было организовано общественное и экспертное обсуждени</w:t>
            </w:r>
            <w:r w:rsidR="0084201A">
              <w:rPr>
                <w:bCs/>
                <w:u w:val="single"/>
                <w:lang w:bidi="ru-RU"/>
              </w:rPr>
              <w:t>е и приняты федеральные законы</w:t>
            </w:r>
            <w:r w:rsidR="005E1165">
              <w:rPr>
                <w:bCs/>
                <w:u w:val="single"/>
                <w:lang w:bidi="ru-RU"/>
              </w:rPr>
              <w:t>, направленные на</w:t>
            </w:r>
            <w:r w:rsidRPr="001C2FAB">
              <w:rPr>
                <w:bCs/>
                <w:u w:val="single"/>
                <w:lang w:bidi="ru-RU"/>
              </w:rPr>
              <w:t xml:space="preserve"> реализ</w:t>
            </w:r>
            <w:r w:rsidR="0084201A">
              <w:rPr>
                <w:bCs/>
                <w:u w:val="single"/>
                <w:lang w:bidi="ru-RU"/>
              </w:rPr>
              <w:t>аци</w:t>
            </w:r>
            <w:r w:rsidR="005E1165">
              <w:rPr>
                <w:bCs/>
                <w:u w:val="single"/>
                <w:lang w:bidi="ru-RU"/>
              </w:rPr>
              <w:t>ю</w:t>
            </w:r>
            <w:r w:rsidR="002511AB">
              <w:rPr>
                <w:bCs/>
                <w:u w:val="single"/>
                <w:lang w:bidi="ru-RU"/>
              </w:rPr>
              <w:t xml:space="preserve"> </w:t>
            </w:r>
            <w:r w:rsidRPr="001C2FAB">
              <w:rPr>
                <w:bCs/>
                <w:u w:val="single"/>
                <w:lang w:bidi="ru-RU"/>
              </w:rPr>
              <w:t>основны</w:t>
            </w:r>
            <w:r w:rsidR="0084201A">
              <w:rPr>
                <w:bCs/>
                <w:u w:val="single"/>
                <w:lang w:bidi="ru-RU"/>
              </w:rPr>
              <w:t>х</w:t>
            </w:r>
            <w:r w:rsidRPr="001C2FAB">
              <w:rPr>
                <w:bCs/>
                <w:u w:val="single"/>
                <w:lang w:bidi="ru-RU"/>
              </w:rPr>
              <w:t xml:space="preserve"> </w:t>
            </w:r>
            <w:r w:rsidR="002511AB">
              <w:rPr>
                <w:bCs/>
                <w:u w:val="single"/>
                <w:lang w:bidi="ru-RU"/>
              </w:rPr>
              <w:t xml:space="preserve">целей и </w:t>
            </w:r>
            <w:r w:rsidR="0084201A">
              <w:rPr>
                <w:bCs/>
                <w:u w:val="single"/>
                <w:lang w:bidi="ru-RU"/>
              </w:rPr>
              <w:t>задач</w:t>
            </w:r>
            <w:r w:rsidR="002511AB">
              <w:rPr>
                <w:bCs/>
                <w:u w:val="single"/>
                <w:lang w:bidi="ru-RU"/>
              </w:rPr>
              <w:t xml:space="preserve"> развития пенсионной системы</w:t>
            </w:r>
            <w:r w:rsidRPr="001C2FAB">
              <w:rPr>
                <w:bCs/>
                <w:u w:val="single"/>
                <w:lang w:bidi="ru-RU"/>
              </w:rPr>
              <w:t>:</w:t>
            </w: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гарантировани</w:t>
            </w:r>
            <w:r>
              <w:rPr>
                <w:bCs/>
                <w:u w:val="single"/>
                <w:lang w:bidi="ru-RU"/>
              </w:rPr>
              <w:t>е</w:t>
            </w:r>
            <w:r w:rsidRPr="001C2FAB">
              <w:rPr>
                <w:bCs/>
                <w:u w:val="single"/>
                <w:lang w:bidi="ru-RU"/>
              </w:rPr>
              <w:t xml:space="preserve"> приемлемого уровня пенсионного обеспечения граждан;</w:t>
            </w:r>
          </w:p>
          <w:p w:rsidR="0084201A" w:rsidRDefault="0084201A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обеспечени</w:t>
            </w:r>
            <w:r>
              <w:rPr>
                <w:bCs/>
                <w:u w:val="single"/>
                <w:lang w:bidi="ru-RU"/>
              </w:rPr>
              <w:t>е</w:t>
            </w:r>
            <w:r w:rsidRPr="001C2FAB">
              <w:rPr>
                <w:bCs/>
                <w:u w:val="single"/>
                <w:lang w:bidi="ru-RU"/>
              </w:rPr>
              <w:t xml:space="preserve"> адекватности пенсионных прав заработной плате</w:t>
            </w:r>
            <w:r>
              <w:rPr>
                <w:bCs/>
                <w:u w:val="single"/>
                <w:lang w:bidi="ru-RU"/>
              </w:rPr>
              <w:t>;</w:t>
            </w:r>
          </w:p>
          <w:p w:rsidR="001C2FAB" w:rsidRPr="001C2FAB" w:rsidRDefault="00572322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572322">
              <w:rPr>
                <w:bCs/>
                <w:u w:val="single"/>
                <w:lang w:bidi="ru-RU"/>
              </w:rPr>
              <w:t>обеспечение сбалансированности и долгосрочной финансовой устойчивости пенсионной системы</w:t>
            </w:r>
            <w:r w:rsidR="001C2FAB" w:rsidRPr="001C2FAB">
              <w:rPr>
                <w:bCs/>
                <w:u w:val="single"/>
                <w:lang w:bidi="ru-RU"/>
              </w:rPr>
              <w:t>;</w:t>
            </w: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сохранени</w:t>
            </w:r>
            <w:r>
              <w:rPr>
                <w:bCs/>
                <w:u w:val="single"/>
                <w:lang w:bidi="ru-RU"/>
              </w:rPr>
              <w:t>е</w:t>
            </w:r>
            <w:r w:rsidRPr="001C2FAB">
              <w:rPr>
                <w:bCs/>
                <w:u w:val="single"/>
                <w:lang w:bidi="ru-RU"/>
              </w:rPr>
              <w:t xml:space="preserve"> приемлемого уровня страховой нагрузки </w:t>
            </w:r>
            <w:r w:rsidR="00572322" w:rsidRPr="00572322">
              <w:rPr>
                <w:bCs/>
                <w:u w:val="single"/>
                <w:lang w:bidi="ru-RU"/>
              </w:rPr>
              <w:t xml:space="preserve">для субъектов экономической деятельности </w:t>
            </w:r>
            <w:r w:rsidRPr="001C2FAB">
              <w:rPr>
                <w:bCs/>
                <w:u w:val="single"/>
                <w:lang w:bidi="ru-RU"/>
              </w:rPr>
              <w:t>и нагрузки на федеральный бюджет;</w:t>
            </w:r>
          </w:p>
          <w:p w:rsidR="001C2FAB" w:rsidRPr="001C2FAB" w:rsidRDefault="00572322" w:rsidP="00146B15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572322">
              <w:rPr>
                <w:bCs/>
                <w:u w:val="single"/>
                <w:lang w:bidi="ru-RU"/>
              </w:rPr>
              <w:t>повышение эффективности накопительной составляющей пенсионной системы.</w:t>
            </w: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B93A5A">
              <w:rPr>
                <w:b/>
                <w:bCs/>
                <w:u w:val="single"/>
                <w:lang w:bidi="ru-RU"/>
              </w:rPr>
              <w:t>План-график выполнен в полном объеме в установленные сроки</w:t>
            </w:r>
            <w:r w:rsidRPr="001C2FAB">
              <w:rPr>
                <w:bCs/>
                <w:u w:val="single"/>
                <w:lang w:bidi="ru-RU"/>
              </w:rPr>
              <w:t>.</w:t>
            </w:r>
          </w:p>
          <w:p w:rsidR="00304A27" w:rsidRPr="00E46D9B" w:rsidRDefault="00304A27" w:rsidP="001C2FAB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F3522B" w:rsidRPr="00E46D9B" w:rsidRDefault="00304A27" w:rsidP="00304A27">
            <w:pPr>
              <w:jc w:val="center"/>
            </w:pPr>
            <w:r w:rsidRPr="00E46D9B">
              <w:t>(указывается перечень мер с характеристикой их влияния)</w:t>
            </w:r>
          </w:p>
        </w:tc>
      </w:tr>
      <w:tr w:rsidR="00F3522B" w:rsidRPr="00E46D9B" w:rsidTr="00C92103">
        <w:tc>
          <w:tcPr>
            <w:tcW w:w="831" w:type="dxa"/>
          </w:tcPr>
          <w:p w:rsidR="00F3522B" w:rsidRPr="00A53A64" w:rsidRDefault="00F3522B" w:rsidP="00F352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A53A64">
              <w:lastRenderedPageBreak/>
              <w:t>2.3</w:t>
            </w:r>
          </w:p>
        </w:tc>
        <w:tc>
          <w:tcPr>
            <w:tcW w:w="8406" w:type="dxa"/>
            <w:vAlign w:val="center"/>
          </w:tcPr>
          <w:p w:rsidR="00F3522B" w:rsidRDefault="00F3522B" w:rsidP="00F3522B">
            <w:pPr>
              <w:jc w:val="center"/>
            </w:pPr>
            <w:r w:rsidRPr="00A53A64"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F85B0D" w:rsidRDefault="00F85B0D" w:rsidP="00C81640">
            <w:pPr>
              <w:ind w:firstLine="224"/>
              <w:jc w:val="both"/>
              <w:rPr>
                <w:rFonts w:eastAsia="Calibri"/>
                <w:u w:val="single"/>
                <w:lang w:eastAsia="en-US"/>
              </w:rPr>
            </w:pP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t>Проводимая социальная политика государства направлена на повышение уровня пенсионного обеспечения.</w:t>
            </w: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t>Размер пенсии конкретного пенсионера зависит от его трудового вклада, т.е. от продолжительности общего трудового стажа, величины его заработной платы и других обстоятельств.</w:t>
            </w: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t>Правительством Российской Федерации, с учетом</w:t>
            </w:r>
            <w:r>
              <w:rPr>
                <w:rFonts w:eastAsia="Calibri"/>
                <w:lang w:eastAsia="en-US" w:bidi="ru-RU"/>
              </w:rPr>
              <w:t xml:space="preserve"> </w:t>
            </w:r>
            <w:r w:rsidRPr="00935E6E">
              <w:rPr>
                <w:rFonts w:eastAsia="Calibri"/>
                <w:lang w:eastAsia="en-US" w:bidi="ru-RU"/>
              </w:rPr>
              <w:t>социально-экономической ситуации, связанной с последствиями ограничительных мер в отношении Российской Федерации, принимаются все возможные меры по обеспечению стабильного роста уровня пенсионного обеспечения граждан.</w:t>
            </w: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t>В 2022 году численность пенсионеров, получающих пенсии по линии Пенсионного фонда Российской Федерации</w:t>
            </w:r>
            <w:r>
              <w:rPr>
                <w:rFonts w:eastAsia="Calibri"/>
                <w:lang w:eastAsia="en-US" w:bidi="ru-RU"/>
              </w:rPr>
              <w:t xml:space="preserve"> </w:t>
            </w:r>
            <w:r w:rsidR="00353115">
              <w:rPr>
                <w:rFonts w:eastAsia="Calibri"/>
                <w:lang w:eastAsia="en-US" w:bidi="ru-RU"/>
              </w:rPr>
              <w:t xml:space="preserve">(далее – ПФР) </w:t>
            </w:r>
            <w:r w:rsidR="00353115" w:rsidRPr="00353115">
              <w:rPr>
                <w:rFonts w:eastAsia="Calibri"/>
                <w:bCs/>
                <w:lang w:eastAsia="en-US" w:bidi="ru-RU"/>
              </w:rPr>
              <w:t>(с 1 января 2023 г. – Социально</w:t>
            </w:r>
            <w:r w:rsidR="00353115">
              <w:rPr>
                <w:rFonts w:eastAsia="Calibri"/>
                <w:bCs/>
                <w:lang w:eastAsia="en-US" w:bidi="ru-RU"/>
              </w:rPr>
              <w:t>го</w:t>
            </w:r>
            <w:r w:rsidR="00353115" w:rsidRPr="00353115">
              <w:rPr>
                <w:rFonts w:eastAsia="Calibri"/>
                <w:bCs/>
                <w:lang w:eastAsia="en-US" w:bidi="ru-RU"/>
              </w:rPr>
              <w:t xml:space="preserve"> фонд</w:t>
            </w:r>
            <w:r w:rsidR="00353115">
              <w:rPr>
                <w:rFonts w:eastAsia="Calibri"/>
                <w:bCs/>
                <w:lang w:eastAsia="en-US" w:bidi="ru-RU"/>
              </w:rPr>
              <w:t>а</w:t>
            </w:r>
            <w:r w:rsidR="00353115" w:rsidRPr="00353115">
              <w:rPr>
                <w:rFonts w:eastAsia="Calibri"/>
                <w:bCs/>
                <w:lang w:eastAsia="en-US" w:bidi="ru-RU"/>
              </w:rPr>
              <w:t xml:space="preserve"> России)</w:t>
            </w:r>
            <w:r w:rsidRPr="00935E6E">
              <w:rPr>
                <w:rFonts w:eastAsia="Calibri"/>
                <w:lang w:eastAsia="en-US" w:bidi="ru-RU"/>
              </w:rPr>
              <w:t xml:space="preserve">, составила порядка 42,0 млн человек без учета «военных» пенсионеров, из них около 3,9 млн человек являются получателями пенсий по государственному пенсионному обеспечению, при этом около 3,3 млн пенсионеров - получатели социальной пенсии. </w:t>
            </w: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/>
              </w:rPr>
            </w:pPr>
            <w:r w:rsidRPr="00935E6E">
              <w:rPr>
                <w:rFonts w:eastAsia="Calibri"/>
                <w:lang w:eastAsia="en-US"/>
              </w:rPr>
              <w:t>Во исполнение указания Президента Российской Федерации принят Федеральный закон от 28 января 2022 г. № 1-ФЗ, согласно которому в 2022 г. страховые пенсии неработающих пенсионеров проиндексированы на 8,6%, что выше уровня инфляции 2021 года.</w:t>
            </w: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t>По данным ПФР, на 1 января 2022 года средний размер страховой пенсии по старости в целом по Российской Федерации составил 17 467,94 рубля.</w:t>
            </w:r>
          </w:p>
          <w:p w:rsidR="00E84E23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t xml:space="preserve">С 1 апреля 2022 года пенсии 4,0 млн пенсионеров, получателей пенсий по государственному пенсионному обеспечению, включая </w:t>
            </w:r>
            <w:r w:rsidRPr="00935E6E">
              <w:rPr>
                <w:rFonts w:eastAsia="Calibri"/>
                <w:lang w:eastAsia="en-US"/>
              </w:rPr>
              <w:t>3,3</w:t>
            </w:r>
            <w:r w:rsidRPr="00935E6E">
              <w:rPr>
                <w:rFonts w:eastAsia="Calibri"/>
                <w:lang w:eastAsia="en-US" w:bidi="ru-RU"/>
              </w:rPr>
              <w:t xml:space="preserve"> млн</w:t>
            </w: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t xml:space="preserve"> получателей социальных пенсий, были проиндексированы на 8,6 процентов.</w:t>
            </w:r>
          </w:p>
          <w:p w:rsidR="00935E6E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lastRenderedPageBreak/>
              <w:t xml:space="preserve">При этом средний размер социальной пенсии составил </w:t>
            </w:r>
            <w:r w:rsidRPr="00935E6E">
              <w:rPr>
                <w:rFonts w:eastAsia="Calibri"/>
                <w:lang w:eastAsia="en-US" w:bidi="ru-RU"/>
              </w:rPr>
              <w:br/>
            </w:r>
            <w:r w:rsidRPr="00935E6E">
              <w:rPr>
                <w:rFonts w:eastAsia="Calibri"/>
                <w:lang w:eastAsia="en-US"/>
              </w:rPr>
              <w:t>11 072</w:t>
            </w:r>
            <w:r w:rsidRPr="00935E6E">
              <w:rPr>
                <w:rFonts w:eastAsia="Calibri"/>
                <w:lang w:eastAsia="en-US" w:bidi="ru-RU"/>
              </w:rPr>
              <w:t>,01 рублей.</w:t>
            </w:r>
          </w:p>
          <w:p w:rsidR="00AF79C1" w:rsidRPr="00935E6E" w:rsidRDefault="00AF79C1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В</w:t>
            </w:r>
            <w:r w:rsidRPr="00AF79C1">
              <w:rPr>
                <w:rFonts w:eastAsia="Calibri"/>
                <w:lang w:eastAsia="en-US" w:bidi="ru-RU"/>
              </w:rPr>
              <w:t>сем неработающим пенсионерам, чья пенсия не достигает величины прожиточного минимума пенсионера в регионе, устанавливается социальная доплата к пенсии. С 2022 года социальные доплаты к пенсии неработающим пенсионерам устанавлива</w:t>
            </w:r>
            <w:r>
              <w:rPr>
                <w:rFonts w:eastAsia="Calibri"/>
                <w:lang w:eastAsia="en-US" w:bidi="ru-RU"/>
              </w:rPr>
              <w:t>ю</w:t>
            </w:r>
            <w:r w:rsidRPr="00AF79C1">
              <w:rPr>
                <w:rFonts w:eastAsia="Calibri"/>
                <w:lang w:eastAsia="en-US" w:bidi="ru-RU"/>
              </w:rPr>
              <w:t xml:space="preserve">тся в </w:t>
            </w:r>
            <w:proofErr w:type="spellStart"/>
            <w:r w:rsidRPr="00AF79C1">
              <w:rPr>
                <w:rFonts w:eastAsia="Calibri"/>
                <w:lang w:eastAsia="en-US" w:bidi="ru-RU"/>
              </w:rPr>
              <w:t>беззаявительном</w:t>
            </w:r>
            <w:proofErr w:type="spellEnd"/>
            <w:r w:rsidRPr="00AF79C1">
              <w:rPr>
                <w:rFonts w:eastAsia="Calibri"/>
                <w:lang w:eastAsia="en-US" w:bidi="ru-RU"/>
              </w:rPr>
              <w:t xml:space="preserve"> порядке со дня назначения пенсии. Это было реализовано благодаря развитию механизмов социального казначейства</w:t>
            </w:r>
            <w:r>
              <w:rPr>
                <w:rFonts w:eastAsia="Calibri"/>
                <w:lang w:eastAsia="en-US" w:bidi="ru-RU"/>
              </w:rPr>
              <w:t>.</w:t>
            </w: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t>В соответствии с постановлением Правительства Российской Федерации от 28 мая 2022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</w:t>
            </w:r>
            <w:r>
              <w:rPr>
                <w:rFonts w:eastAsia="Calibri"/>
                <w:lang w:eastAsia="en-US" w:bidi="ru-RU"/>
              </w:rPr>
              <w:t xml:space="preserve"> </w:t>
            </w:r>
            <w:r w:rsidRPr="00935E6E">
              <w:rPr>
                <w:rFonts w:eastAsia="Calibri"/>
                <w:lang w:eastAsia="en-US" w:bidi="ru-RU"/>
              </w:rPr>
              <w:t>от 15 декабря 2001 г</w:t>
            </w:r>
            <w:r w:rsidR="00AF79C1">
              <w:rPr>
                <w:rFonts w:eastAsia="Calibri"/>
                <w:lang w:eastAsia="en-US" w:bidi="ru-RU"/>
              </w:rPr>
              <w:t>.</w:t>
            </w:r>
            <w:r w:rsidRPr="00935E6E">
              <w:rPr>
                <w:rFonts w:eastAsia="Calibri"/>
                <w:lang w:eastAsia="en-US" w:bidi="ru-RU"/>
              </w:rPr>
              <w:t xml:space="preserve"> № 166-ФЗ «О государственном пенсионном обеспечении в Российской Федерации» пенсии и социальные выплаты</w:t>
            </w:r>
            <w:r>
              <w:rPr>
                <w:rFonts w:eastAsia="Calibri"/>
                <w:lang w:eastAsia="en-US" w:bidi="ru-RU"/>
              </w:rPr>
              <w:t xml:space="preserve"> </w:t>
            </w:r>
            <w:r w:rsidRPr="00935E6E">
              <w:rPr>
                <w:rFonts w:eastAsia="Calibri"/>
                <w:lang w:eastAsia="en-US" w:bidi="ru-RU"/>
              </w:rPr>
              <w:t>с 1 июня 2022 года проиндексированы на 10 процентов.</w:t>
            </w: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 w:bidi="ru-RU"/>
              </w:rPr>
            </w:pPr>
            <w:r w:rsidRPr="00935E6E">
              <w:rPr>
                <w:rFonts w:eastAsia="Calibri"/>
                <w:lang w:eastAsia="en-US" w:bidi="ru-RU"/>
              </w:rPr>
              <w:t xml:space="preserve">В августе 2022 года был проведен </w:t>
            </w:r>
            <w:proofErr w:type="spellStart"/>
            <w:r w:rsidRPr="00935E6E">
              <w:rPr>
                <w:rFonts w:eastAsia="Calibri"/>
                <w:lang w:eastAsia="en-US" w:bidi="ru-RU"/>
              </w:rPr>
              <w:t>беззаявительный</w:t>
            </w:r>
            <w:proofErr w:type="spellEnd"/>
            <w:r w:rsidRPr="00935E6E">
              <w:rPr>
                <w:rFonts w:eastAsia="Calibri"/>
                <w:lang w:eastAsia="en-US" w:bidi="ru-RU"/>
              </w:rPr>
              <w:t xml:space="preserve"> перерасчет размеров страховых пенсий более чем 9,8 млн пенсионерам, осуществлявшим работу в 2021 году, по данным индивидуального (персонифицированного) учета, исходя из страховых взносов, отраженных на их лицевых счетах.</w:t>
            </w:r>
          </w:p>
          <w:p w:rsidR="00935E6E" w:rsidRPr="00935E6E" w:rsidRDefault="00935E6E" w:rsidP="00935E6E">
            <w:pPr>
              <w:ind w:firstLine="225"/>
              <w:jc w:val="both"/>
              <w:rPr>
                <w:rFonts w:eastAsia="Calibri"/>
                <w:lang w:eastAsia="en-US"/>
              </w:rPr>
            </w:pPr>
            <w:r w:rsidRPr="00935E6E">
              <w:rPr>
                <w:rFonts w:eastAsia="Calibri"/>
                <w:lang w:eastAsia="en-US"/>
              </w:rPr>
              <w:t>По данным Социального фонда России, на 1 января 2023 года средний размер страховой пенсии по старости в целом по Российской Федерации составил 20 678,42 рубля.</w:t>
            </w:r>
          </w:p>
          <w:p w:rsidR="00C81640" w:rsidRPr="00B93A5A" w:rsidRDefault="00C81640" w:rsidP="00847296">
            <w:pPr>
              <w:ind w:firstLine="224"/>
              <w:jc w:val="both"/>
              <w:rPr>
                <w:rFonts w:eastAsia="Calibri"/>
                <w:b/>
                <w:lang w:eastAsia="en-US"/>
              </w:rPr>
            </w:pPr>
            <w:r w:rsidRPr="00B93A5A">
              <w:rPr>
                <w:rFonts w:eastAsia="Calibri"/>
                <w:b/>
                <w:lang w:eastAsia="en-US"/>
              </w:rPr>
              <w:t xml:space="preserve">В </w:t>
            </w:r>
            <w:r w:rsidR="007527FD" w:rsidRPr="00B93A5A">
              <w:rPr>
                <w:rFonts w:eastAsia="Calibri"/>
                <w:b/>
                <w:lang w:eastAsia="en-US"/>
              </w:rPr>
              <w:t>202</w:t>
            </w:r>
            <w:r w:rsidR="00935E6E">
              <w:rPr>
                <w:rFonts w:eastAsia="Calibri"/>
                <w:b/>
                <w:lang w:eastAsia="en-US"/>
              </w:rPr>
              <w:t>2</w:t>
            </w:r>
            <w:r w:rsidR="007527FD" w:rsidRPr="00B93A5A">
              <w:rPr>
                <w:rFonts w:eastAsia="Calibri"/>
                <w:b/>
                <w:lang w:eastAsia="en-US"/>
              </w:rPr>
              <w:t xml:space="preserve"> </w:t>
            </w:r>
            <w:r w:rsidRPr="00B93A5A">
              <w:rPr>
                <w:rFonts w:eastAsia="Calibri"/>
                <w:b/>
                <w:lang w:eastAsia="en-US"/>
              </w:rPr>
              <w:t>году было обеспечено выполнение всех предусмотренных законодательством Российской Федерации мероприятий по повышению уровня материального обеспечения пенсионеров.</w:t>
            </w:r>
          </w:p>
          <w:p w:rsidR="0050545E" w:rsidRPr="007F0AE9" w:rsidRDefault="0050545E" w:rsidP="0050545E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r w:rsidRPr="007F0AE9">
              <w:t xml:space="preserve">В целях обеспечения более удобных условий реализации гражданами права </w:t>
            </w:r>
            <w:r w:rsidRPr="007F0AE9">
              <w:br/>
              <w:t xml:space="preserve">на пенсионное обеспечение и социальную помощь </w:t>
            </w:r>
            <w:r w:rsidRPr="007F0AE9">
              <w:rPr>
                <w:lang w:bidi="ru-RU"/>
              </w:rPr>
              <w:t>с учетом развития</w:t>
            </w:r>
            <w:r w:rsidRPr="007F0AE9">
              <w:t xml:space="preserve"> </w:t>
            </w:r>
            <w:r w:rsidRPr="007F0AE9">
              <w:rPr>
                <w:lang w:bidi="ru-RU"/>
              </w:rPr>
              <w:t>современных информационных технологий</w:t>
            </w:r>
            <w:r w:rsidRPr="007F0AE9">
              <w:rPr>
                <w:rFonts w:eastAsia="Calibri"/>
              </w:rPr>
              <w:t xml:space="preserve"> в соответствии с Федеральным законом от 26 мая 2021 г. № 153-ФЗ «О внесении изменений в отдельные законодательные акты Российской Федерации» осуществля</w:t>
            </w:r>
            <w:r w:rsidRPr="007F0AE9">
              <w:rPr>
                <w:bCs/>
              </w:rPr>
              <w:t>лось</w:t>
            </w:r>
          </w:p>
          <w:p w:rsidR="0050545E" w:rsidRPr="007F0AE9" w:rsidRDefault="0050545E" w:rsidP="0050545E">
            <w:pPr>
              <w:shd w:val="clear" w:color="auto" w:fill="FFFFFF"/>
              <w:ind w:firstLine="222"/>
              <w:jc w:val="both"/>
              <w:rPr>
                <w:rFonts w:cstheme="minorBidi"/>
              </w:rPr>
            </w:pPr>
            <w:proofErr w:type="spellStart"/>
            <w:r w:rsidRPr="007F0AE9">
              <w:t>беззаявительное</w:t>
            </w:r>
            <w:proofErr w:type="spellEnd"/>
            <w:r w:rsidRPr="007F0AE9">
              <w:t xml:space="preserve"> назначение досрочных пенсий безработным </w:t>
            </w:r>
            <w:proofErr w:type="spellStart"/>
            <w:r w:rsidRPr="007F0AE9">
              <w:t>предпенсионерам</w:t>
            </w:r>
            <w:proofErr w:type="spellEnd"/>
            <w:r w:rsidRPr="007F0AE9">
              <w:t xml:space="preserve"> по предложению органов службы занятости;</w:t>
            </w:r>
          </w:p>
          <w:p w:rsidR="0050545E" w:rsidRPr="007F0AE9" w:rsidRDefault="0050545E" w:rsidP="0050545E">
            <w:pPr>
              <w:pStyle w:val="Style14"/>
              <w:shd w:val="clear" w:color="auto" w:fill="auto"/>
              <w:spacing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A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0AE9">
              <w:rPr>
                <w:rFonts w:ascii="Times New Roman" w:hAnsi="Times New Roman"/>
                <w:sz w:val="24"/>
                <w:szCs w:val="24"/>
              </w:rPr>
              <w:t>еззаявительное</w:t>
            </w:r>
            <w:proofErr w:type="spellEnd"/>
            <w:r w:rsidRPr="007F0AE9">
              <w:rPr>
                <w:rFonts w:ascii="Times New Roman" w:hAnsi="Times New Roman"/>
                <w:sz w:val="24"/>
                <w:szCs w:val="24"/>
              </w:rPr>
              <w:t xml:space="preserve"> назначение пенсий по инвалидности (страховых и социальных);</w:t>
            </w:r>
          </w:p>
          <w:p w:rsidR="0050545E" w:rsidRPr="007F0AE9" w:rsidRDefault="0050545E" w:rsidP="0050545E">
            <w:pPr>
              <w:ind w:firstLine="222"/>
              <w:jc w:val="both"/>
            </w:pPr>
            <w:r w:rsidRPr="007F0AE9">
              <w:t xml:space="preserve">назначение, возобновление и перерасчет иных видов пенсий в </w:t>
            </w:r>
            <w:proofErr w:type="spellStart"/>
            <w:r w:rsidRPr="007F0AE9">
              <w:t>беззаявительном</w:t>
            </w:r>
            <w:proofErr w:type="spellEnd"/>
            <w:r w:rsidRPr="007F0AE9">
              <w:t xml:space="preserve"> порядке;</w:t>
            </w:r>
          </w:p>
          <w:p w:rsidR="0050545E" w:rsidRPr="007F0AE9" w:rsidRDefault="0050545E" w:rsidP="0050545E">
            <w:pPr>
              <w:shd w:val="clear" w:color="auto" w:fill="FFFFFF"/>
              <w:ind w:firstLine="222"/>
              <w:jc w:val="both"/>
              <w:rPr>
                <w:b/>
              </w:rPr>
            </w:pPr>
            <w:proofErr w:type="spellStart"/>
            <w:r w:rsidRPr="007F0AE9">
              <w:t>беззаявительное</w:t>
            </w:r>
            <w:proofErr w:type="spellEnd"/>
            <w:r w:rsidRPr="007F0AE9">
              <w:t xml:space="preserve"> </w:t>
            </w:r>
            <w:r w:rsidRPr="007F0AE9">
              <w:rPr>
                <w:bCs/>
              </w:rPr>
              <w:t>установление социальных доплат к пенсиям (федеральных и региональных);</w:t>
            </w:r>
            <w:r w:rsidRPr="007F0AE9">
              <w:t xml:space="preserve">   </w:t>
            </w:r>
          </w:p>
          <w:p w:rsidR="0050545E" w:rsidRPr="007F0AE9" w:rsidRDefault="0050545E" w:rsidP="0050545E">
            <w:pPr>
              <w:pStyle w:val="Style15"/>
              <w:shd w:val="clear" w:color="auto" w:fill="auto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E9">
              <w:rPr>
                <w:rStyle w:val="CharStyle17"/>
                <w:color w:val="auto"/>
                <w:sz w:val="24"/>
                <w:szCs w:val="24"/>
              </w:rPr>
              <w:t xml:space="preserve">инициативное информирование застрахованных лиц </w:t>
            </w:r>
            <w:r w:rsidRPr="007F0AE9">
              <w:rPr>
                <w:rFonts w:ascii="Times New Roman" w:hAnsi="Times New Roman" w:cs="Times New Roman"/>
                <w:bCs/>
                <w:sz w:val="24"/>
                <w:szCs w:val="24"/>
              </w:rPr>
              <w:t>о предполагаемом размере страховой пенсии по старости</w:t>
            </w:r>
            <w:r w:rsidRPr="007F0AE9">
              <w:rPr>
                <w:rFonts w:ascii="Times New Roman" w:hAnsi="Times New Roman" w:cs="Times New Roman"/>
                <w:sz w:val="24"/>
                <w:szCs w:val="24"/>
              </w:rPr>
              <w:t>, о суммах средств пенсионных накоплений и правах на выплаты за счет средств пенсионных накоплений;</w:t>
            </w:r>
          </w:p>
          <w:p w:rsidR="0050545E" w:rsidRPr="007F0AE9" w:rsidRDefault="0050545E" w:rsidP="0050545E">
            <w:pPr>
              <w:ind w:firstLine="222"/>
              <w:contextualSpacing/>
              <w:jc w:val="both"/>
            </w:pPr>
            <w:r w:rsidRPr="007F0AE9">
              <w:t>назначение страховой пенсии по старости в автоматическом режиме;</w:t>
            </w:r>
          </w:p>
          <w:p w:rsidR="0050545E" w:rsidRPr="007F0AE9" w:rsidRDefault="0050545E" w:rsidP="0050545E">
            <w:pPr>
              <w:suppressAutoHyphens/>
              <w:ind w:firstLine="224"/>
              <w:contextualSpacing/>
              <w:jc w:val="both"/>
            </w:pPr>
            <w:r w:rsidRPr="007F0AE9">
              <w:t xml:space="preserve">оптимизация деятельности территориальных органов ПФР </w:t>
            </w:r>
            <w:r w:rsidRPr="007F0AE9">
              <w:rPr>
                <w:rFonts w:eastAsia="Calibri"/>
                <w:bCs/>
                <w:lang w:eastAsia="en-US" w:bidi="ru-RU"/>
              </w:rPr>
              <w:t>(с 1 января 2023 г. – Социального фонда России)</w:t>
            </w:r>
            <w:r w:rsidRPr="007F0AE9">
              <w:t xml:space="preserve"> по оказанию государственных услуг на основании комплексного запроса (единого заявления) гражданина о предоставлении ему нескольких услуг.</w:t>
            </w:r>
          </w:p>
          <w:p w:rsidR="00713F54" w:rsidRPr="006A26A1" w:rsidRDefault="00A474A2" w:rsidP="0050545E">
            <w:pPr>
              <w:suppressAutoHyphens/>
              <w:ind w:firstLine="224"/>
              <w:contextualSpacing/>
              <w:jc w:val="both"/>
            </w:pPr>
            <w:r w:rsidRPr="006A26A1">
              <w:lastRenderedPageBreak/>
              <w:t xml:space="preserve">По состоянию </w:t>
            </w:r>
            <w:r w:rsidR="00157F23" w:rsidRPr="006A26A1">
              <w:t xml:space="preserve">на 1 января </w:t>
            </w:r>
            <w:r w:rsidR="007527FD" w:rsidRPr="006A26A1">
              <w:t>202</w:t>
            </w:r>
            <w:r w:rsidR="00935E6E">
              <w:t>3</w:t>
            </w:r>
            <w:r w:rsidR="007527FD" w:rsidRPr="006A26A1">
              <w:t xml:space="preserve"> </w:t>
            </w:r>
            <w:r w:rsidR="00157F23" w:rsidRPr="006A26A1">
              <w:t xml:space="preserve">г. </w:t>
            </w:r>
            <w:r w:rsidRPr="006A26A1">
              <w:t xml:space="preserve">средства пенсионных накоплений в системе обязательного пенсионного страхования </w:t>
            </w:r>
            <w:r w:rsidR="00157F23" w:rsidRPr="006A26A1">
              <w:t>формирует свыше 7</w:t>
            </w:r>
            <w:r w:rsidR="0021378E">
              <w:t>3</w:t>
            </w:r>
            <w:r w:rsidR="00157F23" w:rsidRPr="006A26A1">
              <w:t>,</w:t>
            </w:r>
            <w:r w:rsidR="0021378E">
              <w:t>9</w:t>
            </w:r>
            <w:r w:rsidR="00157F23" w:rsidRPr="006A26A1">
              <w:t xml:space="preserve"> </w:t>
            </w:r>
            <w:bookmarkStart w:id="0" w:name="_GoBack"/>
            <w:r w:rsidR="00157F23" w:rsidRPr="006A26A1">
              <w:t>млн</w:t>
            </w:r>
            <w:bookmarkEnd w:id="0"/>
            <w:r w:rsidR="00157F23" w:rsidRPr="006A26A1">
              <w:t xml:space="preserve"> человек. </w:t>
            </w:r>
          </w:p>
          <w:p w:rsidR="00852A2E" w:rsidRDefault="00847296" w:rsidP="00847296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r>
              <w:rPr>
                <w:bCs/>
              </w:rPr>
              <w:t>Ч</w:t>
            </w:r>
            <w:r w:rsidR="00852A2E">
              <w:rPr>
                <w:bCs/>
              </w:rPr>
              <w:t xml:space="preserve">исленность получателей срочной пенсионной выплаты </w:t>
            </w:r>
            <w:r w:rsidR="00C608A1">
              <w:rPr>
                <w:bCs/>
              </w:rPr>
              <w:t xml:space="preserve">по состоянию </w:t>
            </w:r>
            <w:r>
              <w:rPr>
                <w:bCs/>
              </w:rPr>
              <w:t>на 1</w:t>
            </w:r>
            <w:r w:rsidR="00C608A1">
              <w:rPr>
                <w:bCs/>
              </w:rPr>
              <w:t> </w:t>
            </w:r>
            <w:r>
              <w:rPr>
                <w:bCs/>
              </w:rPr>
              <w:t>января 202</w:t>
            </w:r>
            <w:r w:rsidR="00935E6E">
              <w:rPr>
                <w:bCs/>
              </w:rPr>
              <w:t>3</w:t>
            </w:r>
            <w:r>
              <w:rPr>
                <w:bCs/>
              </w:rPr>
              <w:t xml:space="preserve"> г. </w:t>
            </w:r>
            <w:r w:rsidR="00852A2E">
              <w:rPr>
                <w:bCs/>
              </w:rPr>
              <w:t>составляет 3</w:t>
            </w:r>
            <w:r w:rsidR="0078428B">
              <w:rPr>
                <w:bCs/>
              </w:rPr>
              <w:t>9</w:t>
            </w:r>
            <w:r w:rsidR="00852A2E">
              <w:rPr>
                <w:bCs/>
              </w:rPr>
              <w:t> </w:t>
            </w:r>
            <w:r w:rsidR="0078428B">
              <w:rPr>
                <w:bCs/>
              </w:rPr>
              <w:t>704</w:t>
            </w:r>
            <w:r w:rsidR="00852A2E">
              <w:rPr>
                <w:bCs/>
              </w:rPr>
              <w:t xml:space="preserve"> человек (средний размер </w:t>
            </w:r>
            <w:r w:rsidR="002E50F2">
              <w:rPr>
                <w:bCs/>
              </w:rPr>
              <w:t>–</w:t>
            </w:r>
            <w:r w:rsidR="00450C5A">
              <w:rPr>
                <w:bCs/>
              </w:rPr>
              <w:t xml:space="preserve"> </w:t>
            </w:r>
            <w:r w:rsidR="00852A2E">
              <w:rPr>
                <w:bCs/>
              </w:rPr>
              <w:t>2</w:t>
            </w:r>
            <w:r w:rsidR="002E50F2">
              <w:rPr>
                <w:bCs/>
              </w:rPr>
              <w:t> </w:t>
            </w:r>
            <w:r w:rsidR="0078428B">
              <w:rPr>
                <w:bCs/>
              </w:rPr>
              <w:t>171</w:t>
            </w:r>
            <w:r w:rsidR="00852A2E">
              <w:rPr>
                <w:bCs/>
              </w:rPr>
              <w:t>,</w:t>
            </w:r>
            <w:r w:rsidR="0078428B">
              <w:rPr>
                <w:bCs/>
              </w:rPr>
              <w:t>8</w:t>
            </w:r>
            <w:r w:rsidR="00852A2E">
              <w:rPr>
                <w:bCs/>
              </w:rPr>
              <w:t xml:space="preserve"> руб.), накопительной пенсии – </w:t>
            </w:r>
            <w:r w:rsidR="0078428B">
              <w:rPr>
                <w:bCs/>
              </w:rPr>
              <w:t>101</w:t>
            </w:r>
            <w:r w:rsidR="00852A2E">
              <w:rPr>
                <w:bCs/>
              </w:rPr>
              <w:t> </w:t>
            </w:r>
            <w:r w:rsidR="0078428B">
              <w:rPr>
                <w:bCs/>
              </w:rPr>
              <w:t>066</w:t>
            </w:r>
            <w:r w:rsidR="00852A2E">
              <w:rPr>
                <w:bCs/>
              </w:rPr>
              <w:t xml:space="preserve"> человека (средний размер – 1</w:t>
            </w:r>
            <w:r w:rsidR="002E50F2">
              <w:rPr>
                <w:bCs/>
              </w:rPr>
              <w:t> </w:t>
            </w:r>
            <w:r w:rsidR="00852A2E">
              <w:rPr>
                <w:bCs/>
              </w:rPr>
              <w:t>1</w:t>
            </w:r>
            <w:r w:rsidR="0078428B">
              <w:rPr>
                <w:bCs/>
              </w:rPr>
              <w:t>24</w:t>
            </w:r>
            <w:r w:rsidR="00852A2E">
              <w:rPr>
                <w:bCs/>
              </w:rPr>
              <w:t>,</w:t>
            </w:r>
            <w:r w:rsidR="0078428B">
              <w:rPr>
                <w:bCs/>
              </w:rPr>
              <w:t>07</w:t>
            </w:r>
            <w:r w:rsidR="00852A2E">
              <w:rPr>
                <w:bCs/>
              </w:rPr>
              <w:t xml:space="preserve"> руб.). </w:t>
            </w:r>
          </w:p>
          <w:p w:rsidR="00847296" w:rsidRPr="006A26A1" w:rsidRDefault="00847296" w:rsidP="00847296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r>
              <w:rPr>
                <w:bCs/>
              </w:rPr>
              <w:t>В 202</w:t>
            </w:r>
            <w:r w:rsidR="00935E6E">
              <w:rPr>
                <w:bCs/>
              </w:rPr>
              <w:t>2</w:t>
            </w:r>
            <w:r>
              <w:rPr>
                <w:bCs/>
              </w:rPr>
              <w:t xml:space="preserve"> году осуществлена единовременная выплата средств пенсионных накоплений свыше </w:t>
            </w:r>
            <w:r w:rsidR="0078428B">
              <w:rPr>
                <w:bCs/>
              </w:rPr>
              <w:t>735</w:t>
            </w:r>
            <w:r>
              <w:rPr>
                <w:bCs/>
              </w:rPr>
              <w:t>,</w:t>
            </w:r>
            <w:r w:rsidR="0078428B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="00E45820">
              <w:rPr>
                <w:bCs/>
              </w:rPr>
              <w:t>тыс</w:t>
            </w:r>
            <w:r>
              <w:rPr>
                <w:bCs/>
              </w:rPr>
              <w:t>. человек (средний размер выплаты – 1</w:t>
            </w:r>
            <w:r w:rsidR="0021378E">
              <w:rPr>
                <w:bCs/>
              </w:rPr>
              <w:t>6</w:t>
            </w:r>
            <w:r>
              <w:rPr>
                <w:bCs/>
              </w:rPr>
              <w:t> </w:t>
            </w:r>
            <w:r w:rsidR="0021378E">
              <w:rPr>
                <w:bCs/>
              </w:rPr>
              <w:t>434</w:t>
            </w:r>
            <w:r>
              <w:rPr>
                <w:bCs/>
              </w:rPr>
              <w:t>,</w:t>
            </w:r>
            <w:r w:rsidR="0021378E">
              <w:rPr>
                <w:bCs/>
              </w:rPr>
              <w:t>0</w:t>
            </w:r>
            <w:r>
              <w:rPr>
                <w:bCs/>
              </w:rPr>
              <w:t>5 руб.).</w:t>
            </w:r>
          </w:p>
          <w:p w:rsidR="009A59D5" w:rsidRDefault="009A59D5" w:rsidP="00C92103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r w:rsidRPr="00450C5A">
              <w:rPr>
                <w:bCs/>
              </w:rPr>
              <w:t>Размер срочной пенсионной выплаты и размер накопительной пенсии подлеж</w:t>
            </w:r>
            <w:r>
              <w:rPr>
                <w:bCs/>
              </w:rPr>
              <w:t>и</w:t>
            </w:r>
            <w:r w:rsidRPr="00450C5A">
              <w:rPr>
                <w:bCs/>
              </w:rPr>
              <w:t>т корректировке по результатам инвестирования</w:t>
            </w:r>
            <w:r w:rsidR="00C92103">
              <w:rPr>
                <w:bCs/>
              </w:rPr>
              <w:t xml:space="preserve"> </w:t>
            </w:r>
            <w:r w:rsidR="00C92103" w:rsidRPr="00C92103">
              <w:rPr>
                <w:bCs/>
              </w:rPr>
              <w:t>средств пенсионных накоплений застрахованных лиц, которым установлена срочная пенсионная выплата</w:t>
            </w:r>
            <w:r w:rsidR="00C92103">
              <w:rPr>
                <w:bCs/>
              </w:rPr>
              <w:t>, и средств</w:t>
            </w:r>
            <w:r w:rsidR="00C92103" w:rsidRPr="00C92103">
              <w:rPr>
                <w:bCs/>
              </w:rPr>
              <w:t xml:space="preserve"> </w:t>
            </w:r>
            <w:r w:rsidR="00C92103">
              <w:rPr>
                <w:bCs/>
              </w:rPr>
              <w:t>выплатного резерва</w:t>
            </w:r>
            <w:r w:rsidRPr="00450C5A">
              <w:rPr>
                <w:bCs/>
              </w:rPr>
              <w:t xml:space="preserve"> с 1 августа года, следующего за годом получения дохода от инвестирования</w:t>
            </w:r>
            <w:r>
              <w:rPr>
                <w:bCs/>
              </w:rPr>
              <w:t>. В 202</w:t>
            </w:r>
            <w:r w:rsidR="004E2751">
              <w:rPr>
                <w:bCs/>
              </w:rPr>
              <w:t>2</w:t>
            </w:r>
            <w:r>
              <w:rPr>
                <w:bCs/>
              </w:rPr>
              <w:t xml:space="preserve"> году </w:t>
            </w:r>
            <w:r w:rsidR="00E45820">
              <w:rPr>
                <w:bCs/>
              </w:rPr>
              <w:t>в Пенсионном фонде Российской Федерации</w:t>
            </w:r>
            <w:r w:rsidR="004E2751">
              <w:rPr>
                <w:bCs/>
              </w:rPr>
              <w:t xml:space="preserve"> (с 1 января 2023 г. – Социальном фонде России)</w:t>
            </w:r>
            <w:r w:rsidR="00E45820">
              <w:rPr>
                <w:bCs/>
              </w:rPr>
              <w:t xml:space="preserve"> </w:t>
            </w:r>
            <w:r w:rsidR="001569CD">
              <w:rPr>
                <w:bCs/>
              </w:rPr>
              <w:t xml:space="preserve">размеры </w:t>
            </w:r>
            <w:r>
              <w:rPr>
                <w:bCs/>
              </w:rPr>
              <w:t>срочны</w:t>
            </w:r>
            <w:r w:rsidR="001569CD">
              <w:rPr>
                <w:bCs/>
              </w:rPr>
              <w:t>х</w:t>
            </w:r>
            <w:r>
              <w:rPr>
                <w:bCs/>
              </w:rPr>
              <w:t xml:space="preserve"> пенсионны</w:t>
            </w:r>
            <w:r w:rsidR="001569CD">
              <w:rPr>
                <w:bCs/>
              </w:rPr>
              <w:t>х</w:t>
            </w:r>
            <w:r>
              <w:rPr>
                <w:bCs/>
              </w:rPr>
              <w:t xml:space="preserve"> выплат и накопительны</w:t>
            </w:r>
            <w:r w:rsidR="001569CD">
              <w:rPr>
                <w:bCs/>
              </w:rPr>
              <w:t>х</w:t>
            </w:r>
            <w:r>
              <w:rPr>
                <w:bCs/>
              </w:rPr>
              <w:t xml:space="preserve"> пенси</w:t>
            </w:r>
            <w:r w:rsidR="001569CD">
              <w:rPr>
                <w:bCs/>
              </w:rPr>
              <w:t>й</w:t>
            </w:r>
            <w:r>
              <w:rPr>
                <w:bCs/>
              </w:rPr>
              <w:t xml:space="preserve"> откорректированы соответственно на </w:t>
            </w:r>
            <w:r w:rsidR="000C5E27">
              <w:rPr>
                <w:bCs/>
              </w:rPr>
              <w:t>3</w:t>
            </w:r>
            <w:r>
              <w:rPr>
                <w:bCs/>
              </w:rPr>
              <w:t>,</w:t>
            </w:r>
            <w:r w:rsidR="000C5E27">
              <w:rPr>
                <w:bCs/>
              </w:rPr>
              <w:t>18</w:t>
            </w:r>
            <w:r>
              <w:rPr>
                <w:bCs/>
              </w:rPr>
              <w:t xml:space="preserve"> % и </w:t>
            </w:r>
            <w:r w:rsidR="000C5E27">
              <w:rPr>
                <w:bCs/>
              </w:rPr>
              <w:t>3</w:t>
            </w:r>
            <w:r>
              <w:rPr>
                <w:bCs/>
              </w:rPr>
              <w:t>,</w:t>
            </w:r>
            <w:r w:rsidR="000C5E27">
              <w:rPr>
                <w:bCs/>
              </w:rPr>
              <w:t>08</w:t>
            </w:r>
            <w:r>
              <w:rPr>
                <w:bCs/>
              </w:rPr>
              <w:t xml:space="preserve"> %.</w:t>
            </w:r>
          </w:p>
          <w:p w:rsidR="00847296" w:rsidRPr="006A26A1" w:rsidRDefault="00E45820" w:rsidP="00847296">
            <w:pPr>
              <w:suppressAutoHyphens/>
              <w:ind w:firstLine="224"/>
              <w:contextualSpacing/>
              <w:jc w:val="both"/>
            </w:pPr>
            <w:r>
              <w:t>Д</w:t>
            </w:r>
            <w:r w:rsidR="00847296" w:rsidRPr="006A26A1">
              <w:t xml:space="preserve">оходность от инвестирования средств пенсионных накоплений застрахованных лиц </w:t>
            </w:r>
            <w:r>
              <w:t>в</w:t>
            </w:r>
            <w:r w:rsidRPr="006A26A1">
              <w:t xml:space="preserve"> Пенсионном фонде Российской </w:t>
            </w:r>
            <w:r w:rsidR="004E2751" w:rsidRPr="004E2751">
              <w:rPr>
                <w:bCs/>
              </w:rPr>
              <w:t xml:space="preserve">(с 1 января 2023 г. – Социальном фонде России) </w:t>
            </w:r>
            <w:r w:rsidR="00847296" w:rsidRPr="006A26A1">
              <w:t>за 202</w:t>
            </w:r>
            <w:r w:rsidR="004E2751">
              <w:t>2</w:t>
            </w:r>
            <w:r w:rsidR="00847296" w:rsidRPr="006A26A1">
              <w:t xml:space="preserve"> г. составила совокупно </w:t>
            </w:r>
            <w:r w:rsidR="00872FD0">
              <w:t>9</w:t>
            </w:r>
            <w:r w:rsidR="00847296">
              <w:t>,5</w:t>
            </w:r>
            <w:r w:rsidR="00872FD0">
              <w:t>7</w:t>
            </w:r>
            <w:r w:rsidR="00847296" w:rsidRPr="006A26A1">
              <w:t> % годовых.</w:t>
            </w:r>
          </w:p>
          <w:p w:rsidR="00847296" w:rsidRDefault="001D0FF9" w:rsidP="00A568EC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hyperlink r:id="rId10" w:history="1">
              <w:r w:rsidR="00847296" w:rsidRPr="00872FD0">
                <w:rPr>
                  <w:rStyle w:val="af2"/>
                  <w:color w:val="auto"/>
                  <w:u w:val="none"/>
                </w:rPr>
                <w:t xml:space="preserve">Федеральным законом от </w:t>
              </w:r>
              <w:r w:rsidR="00872FD0" w:rsidRPr="00872FD0">
                <w:rPr>
                  <w:rStyle w:val="af2"/>
                  <w:bCs/>
                  <w:color w:val="auto"/>
                  <w:u w:val="none"/>
                </w:rPr>
                <w:t>19 декабря 2022 г. № 516-ФЗ «Об ожидаемом периоде выплаты накопительной пенсии на 2023 год</w:t>
              </w:r>
              <w:r w:rsidR="00847296" w:rsidRPr="00872FD0">
                <w:rPr>
                  <w:rStyle w:val="af2"/>
                  <w:color w:val="auto"/>
                  <w:u w:val="none"/>
                </w:rPr>
                <w:t>» установлена продолжительность ожидаемого периода выплаты накопительной пенсии на</w:t>
              </w:r>
              <w:r w:rsidR="00847296" w:rsidRPr="00872FD0">
                <w:rPr>
                  <w:rStyle w:val="af2"/>
                </w:rPr>
                <w:t xml:space="preserve"> </w:t>
              </w:r>
              <w:r w:rsidR="00847296" w:rsidRPr="00872FD0">
                <w:rPr>
                  <w:rStyle w:val="af2"/>
                  <w:color w:val="auto"/>
                  <w:u w:val="none"/>
                </w:rPr>
                <w:t>202</w:t>
              </w:r>
              <w:r w:rsidR="00872FD0" w:rsidRPr="00872FD0">
                <w:rPr>
                  <w:rStyle w:val="af2"/>
                  <w:color w:val="auto"/>
                  <w:u w:val="none"/>
                </w:rPr>
                <w:t>3</w:t>
              </w:r>
              <w:r w:rsidR="00847296" w:rsidRPr="00872FD0">
                <w:rPr>
                  <w:rStyle w:val="af2"/>
                  <w:color w:val="auto"/>
                  <w:u w:val="none"/>
                </w:rPr>
                <w:t xml:space="preserve"> год, которая составляет 264 месяца</w:t>
              </w:r>
              <w:r w:rsidR="00C608A1" w:rsidRPr="00872FD0">
                <w:rPr>
                  <w:rStyle w:val="af2"/>
                  <w:color w:val="auto"/>
                  <w:u w:val="none"/>
                </w:rPr>
                <w:t xml:space="preserve"> (в </w:t>
              </w:r>
              <w:r w:rsidR="001569CD" w:rsidRPr="00872FD0">
                <w:rPr>
                  <w:rStyle w:val="af2"/>
                  <w:color w:val="auto"/>
                  <w:u w:val="none"/>
                </w:rPr>
                <w:t>202</w:t>
              </w:r>
              <w:r w:rsidR="00872FD0" w:rsidRPr="00872FD0">
                <w:rPr>
                  <w:rStyle w:val="af2"/>
                  <w:color w:val="auto"/>
                  <w:u w:val="none"/>
                </w:rPr>
                <w:t xml:space="preserve">2 </w:t>
              </w:r>
              <w:r w:rsidR="001569CD" w:rsidRPr="00872FD0">
                <w:rPr>
                  <w:rStyle w:val="af2"/>
                  <w:color w:val="auto"/>
                  <w:u w:val="none"/>
                </w:rPr>
                <w:t>г.</w:t>
              </w:r>
              <w:r w:rsidR="00C608A1" w:rsidRPr="00872FD0">
                <w:rPr>
                  <w:rStyle w:val="af2"/>
                  <w:color w:val="auto"/>
                  <w:u w:val="none"/>
                </w:rPr>
                <w:t xml:space="preserve"> ожидаемый период выплаты накопительной пенсии также составлял 264 месяца</w:t>
              </w:r>
              <w:r w:rsidR="001569CD" w:rsidRPr="00872FD0">
                <w:rPr>
                  <w:rStyle w:val="af2"/>
                  <w:color w:val="auto"/>
                  <w:u w:val="none"/>
                </w:rPr>
                <w:t>)</w:t>
              </w:r>
              <w:r w:rsidR="00847296" w:rsidRPr="00872FD0">
                <w:rPr>
                  <w:rStyle w:val="af2"/>
                  <w:color w:val="auto"/>
                  <w:u w:val="none"/>
                </w:rPr>
                <w:t>.</w:t>
              </w:r>
            </w:hyperlink>
            <w:r w:rsidR="00847296">
              <w:t xml:space="preserve"> </w:t>
            </w:r>
            <w:r w:rsidR="00847296" w:rsidRPr="006A26A1">
              <w:t xml:space="preserve">Ожидаемый период выплаты накопительной пенсии применяется </w:t>
            </w:r>
            <w:r w:rsidR="00C608A1">
              <w:t>при</w:t>
            </w:r>
            <w:r w:rsidR="00847296" w:rsidRPr="006A26A1">
              <w:t xml:space="preserve"> расчет</w:t>
            </w:r>
            <w:r w:rsidR="00C608A1">
              <w:t>е</w:t>
            </w:r>
            <w:r w:rsidR="00847296" w:rsidRPr="006A26A1">
              <w:t xml:space="preserve"> размера накопительной пенсии.</w:t>
            </w:r>
            <w:r w:rsidR="00847296" w:rsidRPr="006A26A1">
              <w:rPr>
                <w:bCs/>
              </w:rPr>
              <w:t xml:space="preserve"> </w:t>
            </w:r>
          </w:p>
          <w:p w:rsidR="00A568EC" w:rsidRDefault="00872FD0" w:rsidP="00A568EC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433AC4" w:rsidRPr="00433AC4">
              <w:rPr>
                <w:bCs/>
              </w:rPr>
              <w:t xml:space="preserve"> целях защиты прав застрахованных лиц </w:t>
            </w:r>
            <w:r>
              <w:rPr>
                <w:bCs/>
              </w:rPr>
              <w:t>в 2022 г. применялся</w:t>
            </w:r>
            <w:r w:rsidR="00433AC4">
              <w:rPr>
                <w:bCs/>
              </w:rPr>
              <w:t xml:space="preserve"> </w:t>
            </w:r>
            <w:r w:rsidR="00433AC4" w:rsidRPr="00433AC4">
              <w:rPr>
                <w:bCs/>
              </w:rPr>
              <w:t xml:space="preserve">порядок, </w:t>
            </w:r>
            <w:r>
              <w:rPr>
                <w:bCs/>
              </w:rPr>
              <w:t xml:space="preserve">установленный </w:t>
            </w:r>
            <w:r w:rsidRPr="006A26A1">
              <w:rPr>
                <w:bCs/>
              </w:rPr>
              <w:t xml:space="preserve">Федеральным законом от </w:t>
            </w:r>
            <w:r>
              <w:rPr>
                <w:bCs/>
              </w:rPr>
              <w:t>21</w:t>
            </w:r>
            <w:r w:rsidRPr="006A26A1">
              <w:rPr>
                <w:bCs/>
              </w:rPr>
              <w:t xml:space="preserve"> декабря 202</w:t>
            </w:r>
            <w:r>
              <w:rPr>
                <w:bCs/>
              </w:rPr>
              <w:t>1</w:t>
            </w:r>
            <w:r w:rsidRPr="006A26A1">
              <w:rPr>
                <w:bCs/>
              </w:rPr>
              <w:t xml:space="preserve"> г. № </w:t>
            </w:r>
            <w:r>
              <w:rPr>
                <w:bCs/>
              </w:rPr>
              <w:t>415</w:t>
            </w:r>
            <w:r w:rsidRPr="006A26A1">
              <w:rPr>
                <w:bCs/>
              </w:rPr>
              <w:t xml:space="preserve">-ФЗ «О внесении изменений в </w:t>
            </w:r>
            <w:r w:rsidRPr="00973955">
              <w:rPr>
                <w:bCs/>
              </w:rPr>
              <w:t>отдельные законодательные акты Российской Федерации</w:t>
            </w:r>
            <w:r w:rsidRPr="006A26A1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="00433AC4" w:rsidRPr="00433AC4">
              <w:rPr>
                <w:bCs/>
              </w:rPr>
              <w:t>при котором в случае признания судом договора об обязательном пенсионном страховании недействительным и, соответственно, неправомерным досрочного перехода к новому страховщику (негосударственному пенсионному фонду) в связи с его неправомерным поведением и возврата средств пенсионных накоплений на счет гражданина у предыдущего страховщика, также возвращ</w:t>
            </w:r>
            <w:r>
              <w:rPr>
                <w:bCs/>
              </w:rPr>
              <w:t>ается</w:t>
            </w:r>
            <w:r w:rsidR="00433AC4" w:rsidRPr="00433AC4">
              <w:rPr>
                <w:bCs/>
              </w:rPr>
              <w:t xml:space="preserve"> гражданину ранее удержанный доход от инвестирования этих средств</w:t>
            </w:r>
            <w:r w:rsidR="00433AC4">
              <w:rPr>
                <w:bCs/>
              </w:rPr>
              <w:t xml:space="preserve"> и</w:t>
            </w:r>
            <w:r w:rsidR="00433AC4" w:rsidRPr="00433AC4">
              <w:rPr>
                <w:bCs/>
              </w:rPr>
              <w:t xml:space="preserve"> на счет гражданина направл</w:t>
            </w:r>
            <w:r>
              <w:rPr>
                <w:bCs/>
              </w:rPr>
              <w:t>яются</w:t>
            </w:r>
            <w:r w:rsidR="00433AC4" w:rsidRPr="00433AC4">
              <w:rPr>
                <w:bCs/>
              </w:rPr>
              <w:t xml:space="preserve"> проценты за неправомерное </w:t>
            </w:r>
            <w:r w:rsidR="00433AC4" w:rsidRPr="00A568EC">
              <w:rPr>
                <w:bCs/>
              </w:rPr>
              <w:t>пользование средствами пенсионных накоплений.</w:t>
            </w:r>
          </w:p>
          <w:p w:rsidR="007F0AE9" w:rsidRPr="007F0AE9" w:rsidRDefault="007F0AE9" w:rsidP="007F0AE9">
            <w:pPr>
              <w:ind w:firstLine="222"/>
              <w:contextualSpacing/>
              <w:jc w:val="both"/>
              <w:rPr>
                <w:lang w:bidi="ru-RU"/>
              </w:rPr>
            </w:pPr>
            <w:r w:rsidRPr="007F0AE9">
              <w:rPr>
                <w:lang w:bidi="ru-RU"/>
              </w:rPr>
              <w:t>Принят пакет федеральных законов, предусматривающих совершенствование и уточнение правового статуса ПФР, и в соответствии с которыми с 1 января 2023 г. создан единый социальный фонд путем объединения ПФР и Фонда социального страхования Российской Федерации, в том числе Федеральный закон от 14 июля 2022 г. № 236-ФЗ «О Фонде пенсионного и социального страхования Российской Федерации», определяющий правовое положение Фонда пенсионного и социального страхования Российской Федерации, порядок его создания, реорганизации и ликвидации, виды деятельности, систему органов управления, правовой статус работников.</w:t>
            </w:r>
          </w:p>
          <w:p w:rsidR="00F3522B" w:rsidRPr="00A53A64" w:rsidRDefault="00F3522B" w:rsidP="00A568EC">
            <w:pPr>
              <w:ind w:firstLine="222"/>
              <w:contextualSpacing/>
              <w:jc w:val="both"/>
            </w:pPr>
          </w:p>
        </w:tc>
      </w:tr>
    </w:tbl>
    <w:p w:rsidR="00DB3614" w:rsidRPr="00E46D9B" w:rsidRDefault="00DB3614" w:rsidP="00DB36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1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Дается оценка достаточности и эффективности регулирующих соответствующую сферу</w:t>
      </w:r>
      <w:r>
        <w:rPr>
          <w:sz w:val="22"/>
          <w:szCs w:val="22"/>
        </w:rPr>
        <w:br/>
        <w:t xml:space="preserve">или отрасль экономики </w:t>
      </w:r>
      <w:r w:rsidRPr="00E46D9B">
        <w:rPr>
          <w:sz w:val="22"/>
          <w:szCs w:val="22"/>
        </w:rPr>
        <w:t>нормативны</w:t>
      </w:r>
      <w:r>
        <w:rPr>
          <w:sz w:val="22"/>
          <w:szCs w:val="22"/>
        </w:rPr>
        <w:t>х</w:t>
      </w:r>
      <w:r w:rsidRPr="00E46D9B">
        <w:rPr>
          <w:sz w:val="22"/>
          <w:szCs w:val="22"/>
        </w:rPr>
        <w:t xml:space="preserve"> правовы</w:t>
      </w:r>
      <w:r>
        <w:rPr>
          <w:sz w:val="22"/>
          <w:szCs w:val="22"/>
        </w:rPr>
        <w:t>х</w:t>
      </w:r>
      <w:r w:rsidRPr="00E46D9B">
        <w:rPr>
          <w:sz w:val="22"/>
          <w:szCs w:val="22"/>
        </w:rPr>
        <w:t xml:space="preserve"> акт</w:t>
      </w:r>
      <w:r>
        <w:rPr>
          <w:sz w:val="22"/>
          <w:szCs w:val="22"/>
        </w:rPr>
        <w:t>ов и международных соглашений.</w:t>
      </w:r>
      <w:r w:rsidRPr="00E46D9B">
        <w:rPr>
          <w:sz w:val="22"/>
          <w:szCs w:val="22"/>
        </w:rPr>
        <w:t xml:space="preserve"> </w:t>
      </w:r>
    </w:p>
    <w:p w:rsidR="00DB3614" w:rsidRPr="00E46D9B" w:rsidRDefault="00DB3614" w:rsidP="00DB361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отношении </w:t>
      </w:r>
      <w:r w:rsidRPr="00E46D9B">
        <w:rPr>
          <w:sz w:val="22"/>
          <w:szCs w:val="22"/>
        </w:rPr>
        <w:t>мер, оказавших</w:t>
      </w:r>
      <w:r>
        <w:rPr>
          <w:sz w:val="22"/>
          <w:szCs w:val="22"/>
        </w:rPr>
        <w:t xml:space="preserve"> значимое</w:t>
      </w:r>
      <w:r w:rsidRPr="00E46D9B">
        <w:rPr>
          <w:sz w:val="22"/>
          <w:szCs w:val="22"/>
        </w:rPr>
        <w:t xml:space="preserve"> положительное влияние на сферу или отрасль экономики</w:t>
      </w:r>
      <w:r>
        <w:rPr>
          <w:sz w:val="22"/>
          <w:szCs w:val="22"/>
        </w:rPr>
        <w:t xml:space="preserve"> </w:t>
      </w:r>
      <w:r w:rsidRPr="00E46D9B">
        <w:rPr>
          <w:sz w:val="22"/>
          <w:szCs w:val="22"/>
        </w:rPr>
        <w:t>в целом</w:t>
      </w:r>
      <w:r>
        <w:rPr>
          <w:sz w:val="22"/>
          <w:szCs w:val="22"/>
        </w:rPr>
        <w:t xml:space="preserve">, приводится описание </w:t>
      </w:r>
      <w:r w:rsidRPr="00E46D9B">
        <w:rPr>
          <w:sz w:val="22"/>
          <w:szCs w:val="22"/>
        </w:rPr>
        <w:t>их влияния</w:t>
      </w:r>
      <w:r>
        <w:rPr>
          <w:sz w:val="22"/>
          <w:szCs w:val="22"/>
        </w:rPr>
        <w:t>.</w:t>
      </w:r>
    </w:p>
    <w:p w:rsidR="00DB3614" w:rsidRPr="00E46D9B" w:rsidRDefault="00DB3614" w:rsidP="00DB361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46D9B">
        <w:rPr>
          <w:sz w:val="22"/>
          <w:szCs w:val="22"/>
        </w:rPr>
        <w:lastRenderedPageBreak/>
        <w:t xml:space="preserve">При </w:t>
      </w:r>
      <w:r>
        <w:rPr>
          <w:sz w:val="22"/>
          <w:szCs w:val="22"/>
        </w:rPr>
        <w:t>выявлении мер, оказавших значимое отрицательное влияние на сферу или отрасль экономики в целом, приводится</w:t>
      </w:r>
      <w:r w:rsidRPr="00E46D9B">
        <w:rPr>
          <w:sz w:val="22"/>
          <w:szCs w:val="22"/>
        </w:rPr>
        <w:t xml:space="preserve"> описани</w:t>
      </w:r>
      <w:r>
        <w:rPr>
          <w:sz w:val="22"/>
          <w:szCs w:val="22"/>
        </w:rPr>
        <w:t>е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этого</w:t>
      </w:r>
      <w:r w:rsidRPr="00E46D9B">
        <w:rPr>
          <w:sz w:val="22"/>
          <w:szCs w:val="22"/>
        </w:rPr>
        <w:t xml:space="preserve"> влияния</w:t>
      </w:r>
      <w:r>
        <w:rPr>
          <w:sz w:val="22"/>
          <w:szCs w:val="22"/>
        </w:rPr>
        <w:t>, при этом в пункте 3.2 настоящей формы указываются</w:t>
      </w:r>
      <w:r w:rsidRPr="00E46D9B">
        <w:rPr>
          <w:sz w:val="22"/>
          <w:szCs w:val="22"/>
        </w:rPr>
        <w:t xml:space="preserve"> предложения</w:t>
      </w:r>
      <w:r>
        <w:rPr>
          <w:sz w:val="22"/>
          <w:szCs w:val="22"/>
        </w:rPr>
        <w:t xml:space="preserve"> по его </w:t>
      </w:r>
      <w:r w:rsidRPr="00E46D9B">
        <w:rPr>
          <w:sz w:val="22"/>
          <w:szCs w:val="22"/>
        </w:rPr>
        <w:t>предотвращени</w:t>
      </w:r>
      <w:r>
        <w:rPr>
          <w:sz w:val="22"/>
          <w:szCs w:val="22"/>
        </w:rPr>
        <w:t>ю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E46D9B">
        <w:rPr>
          <w:sz w:val="22"/>
          <w:szCs w:val="22"/>
        </w:rPr>
        <w:t xml:space="preserve"> дальнейше</w:t>
      </w:r>
      <w:r>
        <w:rPr>
          <w:sz w:val="22"/>
          <w:szCs w:val="22"/>
        </w:rPr>
        <w:t xml:space="preserve">м. </w:t>
      </w:r>
    </w:p>
    <w:p w:rsidR="00DB3614" w:rsidRDefault="00DB3614" w:rsidP="00DB3614">
      <w:pPr>
        <w:pStyle w:val="a4"/>
        <w:ind w:left="0"/>
        <w:jc w:val="center"/>
        <w:rPr>
          <w:sz w:val="28"/>
          <w:szCs w:val="28"/>
        </w:rPr>
      </w:pPr>
    </w:p>
    <w:p w:rsidR="00DB3614" w:rsidRPr="00E46D9B" w:rsidRDefault="00DB3614" w:rsidP="00DB361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 А</w:t>
      </w:r>
      <w:r w:rsidRPr="00E46D9B">
        <w:rPr>
          <w:sz w:val="28"/>
          <w:szCs w:val="28"/>
        </w:rPr>
        <w:t>нализ факторов, повлиявших на ход реализации отраслевого документа стратегического планирования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8404"/>
      </w:tblGrid>
      <w:tr w:rsidR="00DB3614" w:rsidRPr="00E46D9B" w:rsidTr="00DB3614">
        <w:tc>
          <w:tcPr>
            <w:tcW w:w="851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№ п/п</w:t>
            </w:r>
          </w:p>
        </w:tc>
        <w:tc>
          <w:tcPr>
            <w:tcW w:w="8788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Содержание раздела</w:t>
            </w:r>
          </w:p>
        </w:tc>
      </w:tr>
      <w:tr w:rsidR="00DB3614" w:rsidRPr="00E46D9B" w:rsidTr="00DB3614">
        <w:tc>
          <w:tcPr>
            <w:tcW w:w="851" w:type="dxa"/>
          </w:tcPr>
          <w:p w:rsidR="00DB3614" w:rsidRPr="00E46D9B" w:rsidRDefault="00DB3614" w:rsidP="00DB361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8788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Факторы, повлекшие полное или частичное неисполнение мероприятий</w:t>
            </w:r>
            <w:r>
              <w:br/>
              <w:t xml:space="preserve">и (или) </w:t>
            </w:r>
            <w:proofErr w:type="spellStart"/>
            <w:r>
              <w:t>недостижение</w:t>
            </w:r>
            <w:proofErr w:type="spellEnd"/>
            <w:r>
              <w:t xml:space="preserve"> целевых показателей (при наличии)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 xml:space="preserve">(указывается перечень </w:t>
            </w:r>
            <w:r>
              <w:t>факторов</w:t>
            </w:r>
            <w:r w:rsidRPr="00E46D9B">
              <w:t>)</w:t>
            </w:r>
          </w:p>
        </w:tc>
      </w:tr>
      <w:tr w:rsidR="00DB3614" w:rsidRPr="00E46D9B" w:rsidTr="00DB3614">
        <w:tc>
          <w:tcPr>
            <w:tcW w:w="851" w:type="dxa"/>
          </w:tcPr>
          <w:p w:rsidR="00DB3614" w:rsidRPr="00E46D9B" w:rsidRDefault="00DB3614" w:rsidP="00DB361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8788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 xml:space="preserve">Предложения по </w:t>
            </w:r>
            <w:r>
              <w:t>совершенствованию мер государственного регулирования в рассматриваемой отрасли: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(указывается перечень мероприятий)</w:t>
            </w:r>
          </w:p>
        </w:tc>
      </w:tr>
    </w:tbl>
    <w:p w:rsidR="00DB3614" w:rsidRPr="00E46D9B" w:rsidRDefault="00DB3614" w:rsidP="00DB36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B3614" w:rsidRPr="00E46D9B" w:rsidRDefault="00DB3614" w:rsidP="00DB361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46D9B">
        <w:rPr>
          <w:sz w:val="28"/>
          <w:szCs w:val="28"/>
        </w:rPr>
        <w:t>. Предложения о необходимости корректировки отраслевого документа стратегического планирования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8538"/>
      </w:tblGrid>
      <w:tr w:rsidR="00DB3614" w:rsidRPr="00E46D9B" w:rsidTr="00DB3614">
        <w:tc>
          <w:tcPr>
            <w:tcW w:w="709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№ п/п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Содержание раздела</w:t>
            </w:r>
          </w:p>
        </w:tc>
      </w:tr>
      <w:tr w:rsidR="00DB3614" w:rsidRPr="00E46D9B" w:rsidTr="00DB3614">
        <w:tc>
          <w:tcPr>
            <w:tcW w:w="709" w:type="dxa"/>
          </w:tcPr>
          <w:p w:rsidR="00DB3614" w:rsidRPr="00E46D9B" w:rsidRDefault="00DB3614" w:rsidP="00DB3614">
            <w:pPr>
              <w:spacing w:line="360" w:lineRule="auto"/>
              <w:jc w:val="both"/>
            </w:pPr>
            <w:r>
              <w:t>4</w:t>
            </w:r>
            <w:r w:rsidRPr="00E46D9B">
              <w:t>.1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 xml:space="preserve">Перечень </w:t>
            </w:r>
            <w:r>
              <w:t xml:space="preserve">факторов, последствия которых окажут значительное влияние на </w:t>
            </w:r>
            <w:r w:rsidRPr="00E46D9B">
              <w:t>сферы или отрасли экономики</w:t>
            </w:r>
            <w:r>
              <w:rPr>
                <w:vertAlign w:val="superscript"/>
              </w:rPr>
              <w:t xml:space="preserve"> 2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Default="00DB3614" w:rsidP="00DB3614">
            <w:pPr>
              <w:jc w:val="center"/>
            </w:pPr>
            <w:r w:rsidRPr="00E46D9B">
              <w:t xml:space="preserve">(указывается перечень </w:t>
            </w:r>
            <w:r>
              <w:t>факторов</w:t>
            </w:r>
            <w:r w:rsidRPr="00E46D9B">
              <w:t xml:space="preserve"> с характеристикой их влияния)</w:t>
            </w:r>
          </w:p>
          <w:p w:rsidR="000005B4" w:rsidRPr="00E46D9B" w:rsidRDefault="000005B4" w:rsidP="00DB3614">
            <w:pPr>
              <w:jc w:val="center"/>
            </w:pPr>
          </w:p>
        </w:tc>
      </w:tr>
      <w:tr w:rsidR="00DB3614" w:rsidRPr="00E46D9B" w:rsidTr="00DB3614">
        <w:tc>
          <w:tcPr>
            <w:tcW w:w="709" w:type="dxa"/>
          </w:tcPr>
          <w:p w:rsidR="00DB3614" w:rsidRPr="00E46D9B" w:rsidRDefault="00DB3614" w:rsidP="00DB3614">
            <w:pPr>
              <w:spacing w:line="360" w:lineRule="auto"/>
              <w:jc w:val="both"/>
            </w:pPr>
            <w:r>
              <w:t>4</w:t>
            </w:r>
            <w:r w:rsidRPr="00E46D9B">
              <w:t>.2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 xml:space="preserve">Предложения по корректировке содержания </w:t>
            </w:r>
            <w:r w:rsidRPr="00E46D9B">
              <w:t>отраслевого документа стратегического планирования</w:t>
            </w:r>
            <w:r>
              <w:t xml:space="preserve"> (при необходимости)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</w:t>
            </w:r>
            <w:r>
              <w:t>ю</w:t>
            </w:r>
            <w:r w:rsidRPr="00E46D9B">
              <w:t xml:space="preserve">тся </w:t>
            </w:r>
            <w:r>
              <w:t>предложения по корректировке и/или уточнению)</w:t>
            </w:r>
          </w:p>
        </w:tc>
      </w:tr>
      <w:tr w:rsidR="00DB3614" w:rsidRPr="00E46D9B" w:rsidTr="00DB3614">
        <w:tc>
          <w:tcPr>
            <w:tcW w:w="709" w:type="dxa"/>
          </w:tcPr>
          <w:p w:rsidR="00DB3614" w:rsidRPr="00E46D9B" w:rsidRDefault="00DB3614" w:rsidP="00DB3614">
            <w:pPr>
              <w:spacing w:line="360" w:lineRule="auto"/>
              <w:jc w:val="both"/>
            </w:pPr>
            <w:r>
              <w:t>4.3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 xml:space="preserve">Предложения по корректировке </w:t>
            </w:r>
            <w:r w:rsidRPr="00E46D9B">
              <w:t>мероприятий отраслевого документа</w:t>
            </w:r>
            <w:r>
              <w:t xml:space="preserve"> стратегического планирования (при необходимости)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</w:t>
            </w:r>
            <w:r>
              <w:t>ю</w:t>
            </w:r>
            <w:r w:rsidRPr="00E46D9B">
              <w:t>тся пр</w:t>
            </w:r>
            <w:r>
              <w:t>едложения по корректировке и/или уточнению</w:t>
            </w:r>
            <w:r w:rsidRPr="00E46D9B">
              <w:t>)</w:t>
            </w:r>
          </w:p>
        </w:tc>
      </w:tr>
      <w:tr w:rsidR="00DB3614" w:rsidRPr="00E46D9B" w:rsidTr="00DB3614">
        <w:tc>
          <w:tcPr>
            <w:tcW w:w="709" w:type="dxa"/>
          </w:tcPr>
          <w:p w:rsidR="00DB3614" w:rsidRDefault="00DB3614" w:rsidP="00DB3614">
            <w:pPr>
              <w:spacing w:line="360" w:lineRule="auto"/>
              <w:jc w:val="both"/>
            </w:pPr>
            <w:r>
              <w:t>4.4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 xml:space="preserve">Предложения по корректировке показателей </w:t>
            </w:r>
            <w:r w:rsidRPr="00E46D9B">
              <w:t>отраслевого документа</w:t>
            </w:r>
            <w:r>
              <w:t xml:space="preserve"> стратегического планирования и (или) их значений (при необходимости)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</w:t>
            </w:r>
            <w:r>
              <w:t>ю</w:t>
            </w:r>
            <w:r w:rsidRPr="00E46D9B">
              <w:t>тся пр</w:t>
            </w:r>
            <w:r>
              <w:t>едложения по корректировке и (или) уточнению</w:t>
            </w:r>
            <w:r w:rsidRPr="00E46D9B">
              <w:t>)</w:t>
            </w:r>
          </w:p>
        </w:tc>
      </w:tr>
    </w:tbl>
    <w:p w:rsidR="00DB3614" w:rsidRDefault="00DB3614" w:rsidP="00DB361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Указываются факторы</w:t>
      </w:r>
      <w:r w:rsidRPr="00E46D9B">
        <w:rPr>
          <w:sz w:val="22"/>
          <w:szCs w:val="22"/>
        </w:rPr>
        <w:t>,</w:t>
      </w:r>
      <w:r>
        <w:rPr>
          <w:sz w:val="22"/>
          <w:szCs w:val="22"/>
        </w:rPr>
        <w:t xml:space="preserve"> последствия которых окажут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негативное или позитивное </w:t>
      </w:r>
      <w:r w:rsidRPr="00E46D9B">
        <w:rPr>
          <w:sz w:val="22"/>
          <w:szCs w:val="22"/>
        </w:rPr>
        <w:t>влияние</w:t>
      </w:r>
      <w:r>
        <w:rPr>
          <w:sz w:val="22"/>
          <w:szCs w:val="22"/>
        </w:rPr>
        <w:br/>
        <w:t>на сферу или отрасль экономики, с характеристикой их влияния. В качестве х</w:t>
      </w:r>
      <w:r w:rsidRPr="00E46D9B">
        <w:rPr>
          <w:sz w:val="22"/>
          <w:szCs w:val="22"/>
        </w:rPr>
        <w:t>арактеристик</w:t>
      </w:r>
      <w:r>
        <w:rPr>
          <w:sz w:val="22"/>
          <w:szCs w:val="22"/>
        </w:rPr>
        <w:t>и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влияния фактора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указывается «негативное/позитивное»</w:t>
      </w:r>
      <w:r w:rsidRPr="00E46D9B">
        <w:rPr>
          <w:sz w:val="22"/>
          <w:szCs w:val="22"/>
        </w:rPr>
        <w:t>.</w:t>
      </w:r>
    </w:p>
    <w:p w:rsidR="006759B5" w:rsidRDefault="006759B5"/>
    <w:p w:rsidR="00C609DB" w:rsidRPr="00E46D9B" w:rsidRDefault="00C609DB" w:rsidP="00C609DB">
      <w:pPr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46D9B">
        <w:rPr>
          <w:sz w:val="28"/>
          <w:szCs w:val="28"/>
        </w:rPr>
        <w:t xml:space="preserve">. Сведения о </w:t>
      </w:r>
      <w:r>
        <w:rPr>
          <w:sz w:val="28"/>
          <w:szCs w:val="28"/>
        </w:rPr>
        <w:t xml:space="preserve">достижении целевых значений показателей </w:t>
      </w:r>
      <w:r w:rsidRPr="00E46D9B">
        <w:rPr>
          <w:sz w:val="28"/>
          <w:szCs w:val="28"/>
        </w:rPr>
        <w:t xml:space="preserve">за отчетный период </w:t>
      </w:r>
    </w:p>
    <w:tbl>
      <w:tblPr>
        <w:tblStyle w:val="a3"/>
        <w:tblW w:w="9707" w:type="dxa"/>
        <w:tblInd w:w="-34" w:type="dxa"/>
        <w:tblLook w:val="04A0" w:firstRow="1" w:lastRow="0" w:firstColumn="1" w:lastColumn="0" w:noHBand="0" w:noVBand="1"/>
      </w:tblPr>
      <w:tblGrid>
        <w:gridCol w:w="540"/>
        <w:gridCol w:w="3703"/>
        <w:gridCol w:w="1583"/>
        <w:gridCol w:w="979"/>
        <w:gridCol w:w="993"/>
        <w:gridCol w:w="1909"/>
      </w:tblGrid>
      <w:tr w:rsidR="00C609DB" w:rsidRPr="00E46D9B" w:rsidTr="00C609DB">
        <w:trPr>
          <w:trHeight w:val="232"/>
        </w:trPr>
        <w:tc>
          <w:tcPr>
            <w:tcW w:w="540" w:type="dxa"/>
            <w:vMerge w:val="restart"/>
            <w:vAlign w:val="center"/>
          </w:tcPr>
          <w:p w:rsidR="00C609DB" w:rsidRPr="00E46D9B" w:rsidRDefault="00C609DB" w:rsidP="00C609DB">
            <w:pPr>
              <w:jc w:val="center"/>
            </w:pPr>
            <w:r w:rsidRPr="00E46D9B">
              <w:t xml:space="preserve">№ п/п </w:t>
            </w:r>
          </w:p>
        </w:tc>
        <w:tc>
          <w:tcPr>
            <w:tcW w:w="3703" w:type="dxa"/>
            <w:vMerge w:val="restart"/>
            <w:vAlign w:val="center"/>
          </w:tcPr>
          <w:p w:rsidR="00C609DB" w:rsidRPr="00E46D9B" w:rsidRDefault="00C609DB" w:rsidP="00C609DB">
            <w:pPr>
              <w:jc w:val="center"/>
            </w:pPr>
            <w:r w:rsidRPr="00E46D9B">
              <w:t>Показатели отрасли/</w:t>
            </w:r>
            <w:r>
              <w:t>сферы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3" w:type="dxa"/>
            <w:vMerge w:val="restart"/>
            <w:vAlign w:val="center"/>
          </w:tcPr>
          <w:p w:rsidR="00C609DB" w:rsidRDefault="00C609DB" w:rsidP="00C609DB">
            <w:pPr>
              <w:jc w:val="center"/>
            </w:pPr>
            <w:r w:rsidRPr="00E46D9B">
              <w:t xml:space="preserve">Предыдущий год </w:t>
            </w:r>
          </w:p>
          <w:p w:rsidR="00C609DB" w:rsidRPr="00E46D9B" w:rsidRDefault="00C609DB" w:rsidP="007F2FE4">
            <w:pPr>
              <w:jc w:val="center"/>
            </w:pPr>
            <w:r>
              <w:t>20</w:t>
            </w:r>
            <w:r w:rsidR="007527FD">
              <w:t>2</w:t>
            </w:r>
            <w:r w:rsidR="007F2FE4">
              <w:t>1</w:t>
            </w:r>
          </w:p>
        </w:tc>
        <w:tc>
          <w:tcPr>
            <w:tcW w:w="1972" w:type="dxa"/>
            <w:gridSpan w:val="2"/>
          </w:tcPr>
          <w:p w:rsidR="00C609DB" w:rsidRDefault="00C609DB" w:rsidP="00C609DB">
            <w:pPr>
              <w:jc w:val="center"/>
            </w:pPr>
            <w:r>
              <w:t>Отчетный год</w:t>
            </w:r>
          </w:p>
          <w:p w:rsidR="00C609DB" w:rsidRPr="00E46D9B" w:rsidRDefault="00C609DB" w:rsidP="007F2FE4">
            <w:pPr>
              <w:jc w:val="center"/>
            </w:pPr>
            <w:r>
              <w:t>20</w:t>
            </w:r>
            <w:r w:rsidR="00502DD7">
              <w:t>2</w:t>
            </w:r>
            <w:r w:rsidR="007F2FE4">
              <w:t>2</w:t>
            </w:r>
          </w:p>
        </w:tc>
        <w:tc>
          <w:tcPr>
            <w:tcW w:w="1909" w:type="dxa"/>
            <w:vMerge w:val="restart"/>
            <w:vAlign w:val="center"/>
          </w:tcPr>
          <w:p w:rsidR="00C609DB" w:rsidRPr="00AC1DD4" w:rsidRDefault="00C609DB" w:rsidP="00C609DB">
            <w:pPr>
              <w:ind w:right="47"/>
              <w:jc w:val="center"/>
              <w:rPr>
                <w:vertAlign w:val="superscript"/>
              </w:rPr>
            </w:pPr>
            <w:r>
              <w:t>Характеристика показателя</w:t>
            </w:r>
            <w:r>
              <w:rPr>
                <w:vertAlign w:val="superscript"/>
              </w:rPr>
              <w:t>5</w:t>
            </w:r>
          </w:p>
        </w:tc>
      </w:tr>
      <w:tr w:rsidR="00C609DB" w:rsidRPr="00E46D9B" w:rsidTr="00C609DB">
        <w:trPr>
          <w:trHeight w:val="231"/>
        </w:trPr>
        <w:tc>
          <w:tcPr>
            <w:tcW w:w="540" w:type="dxa"/>
            <w:vMerge/>
            <w:vAlign w:val="center"/>
          </w:tcPr>
          <w:p w:rsidR="00C609DB" w:rsidRPr="00E46D9B" w:rsidRDefault="00C609DB" w:rsidP="00C609DB">
            <w:pPr>
              <w:jc w:val="center"/>
            </w:pPr>
          </w:p>
        </w:tc>
        <w:tc>
          <w:tcPr>
            <w:tcW w:w="3703" w:type="dxa"/>
            <w:vMerge/>
            <w:vAlign w:val="center"/>
          </w:tcPr>
          <w:p w:rsidR="00C609DB" w:rsidRPr="00E46D9B" w:rsidRDefault="00C609DB" w:rsidP="00C609DB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C609DB" w:rsidRPr="00E46D9B" w:rsidRDefault="00C609DB" w:rsidP="00C609DB">
            <w:pPr>
              <w:jc w:val="center"/>
            </w:pPr>
          </w:p>
        </w:tc>
        <w:tc>
          <w:tcPr>
            <w:tcW w:w="979" w:type="dxa"/>
          </w:tcPr>
          <w:p w:rsidR="00C609DB" w:rsidRPr="00856C95" w:rsidRDefault="00C609DB" w:rsidP="00C609DB">
            <w:pPr>
              <w:jc w:val="center"/>
              <w:rPr>
                <w:vertAlign w:val="superscript"/>
              </w:rPr>
            </w:pPr>
            <w:r>
              <w:t>План</w:t>
            </w:r>
            <w:r>
              <w:rPr>
                <w:vertAlign w:val="superscript"/>
              </w:rPr>
              <w:t>4</w:t>
            </w:r>
          </w:p>
        </w:tc>
        <w:tc>
          <w:tcPr>
            <w:tcW w:w="993" w:type="dxa"/>
          </w:tcPr>
          <w:p w:rsidR="00C609DB" w:rsidRPr="00E46D9B" w:rsidRDefault="00C609DB" w:rsidP="00C609DB">
            <w:pPr>
              <w:jc w:val="center"/>
            </w:pPr>
            <w:r>
              <w:t>Факт</w:t>
            </w:r>
          </w:p>
        </w:tc>
        <w:tc>
          <w:tcPr>
            <w:tcW w:w="1909" w:type="dxa"/>
            <w:vMerge/>
            <w:vAlign w:val="center"/>
          </w:tcPr>
          <w:p w:rsidR="00C609DB" w:rsidRDefault="00C609DB" w:rsidP="00C609DB">
            <w:pPr>
              <w:ind w:right="47"/>
              <w:jc w:val="center"/>
            </w:pPr>
          </w:p>
        </w:tc>
      </w:tr>
      <w:tr w:rsidR="00271CD9" w:rsidRPr="00E46D9B" w:rsidTr="00314B71">
        <w:tc>
          <w:tcPr>
            <w:tcW w:w="540" w:type="dxa"/>
          </w:tcPr>
          <w:p w:rsidR="00271CD9" w:rsidRPr="00E46D9B" w:rsidRDefault="00271CD9" w:rsidP="00C609DB">
            <w:pPr>
              <w:pStyle w:val="a4"/>
              <w:ind w:left="0"/>
            </w:pPr>
            <w:r>
              <w:t>5</w:t>
            </w:r>
            <w:r w:rsidRPr="00E46D9B">
              <w:t>.1</w:t>
            </w:r>
          </w:p>
        </w:tc>
        <w:tc>
          <w:tcPr>
            <w:tcW w:w="3703" w:type="dxa"/>
          </w:tcPr>
          <w:p w:rsidR="00271CD9" w:rsidRDefault="00271CD9" w:rsidP="00C609DB">
            <w:pPr>
              <w:pStyle w:val="a4"/>
              <w:ind w:left="0"/>
              <w:jc w:val="both"/>
            </w:pPr>
            <w:r w:rsidRPr="00C609DB">
              <w:t>Сред</w:t>
            </w:r>
            <w:r w:rsidR="00A118EB">
              <w:t>негодовой</w:t>
            </w:r>
            <w:r w:rsidRPr="00C609DB">
              <w:t xml:space="preserve"> размер </w:t>
            </w:r>
            <w:r w:rsidR="001158F0">
              <w:t xml:space="preserve">страховой </w:t>
            </w:r>
            <w:r w:rsidR="001158F0" w:rsidRPr="00C609DB">
              <w:t>пенсии</w:t>
            </w:r>
            <w:r w:rsidR="001158F0">
              <w:t xml:space="preserve"> по старости неработающих пенсионеров</w:t>
            </w:r>
            <w:r w:rsidRPr="00C609DB">
              <w:t>, рублей</w:t>
            </w:r>
          </w:p>
          <w:p w:rsidR="00271CD9" w:rsidRPr="00C609DB" w:rsidRDefault="00271CD9" w:rsidP="00C609DB">
            <w:pPr>
              <w:pStyle w:val="a4"/>
              <w:ind w:left="0"/>
              <w:jc w:val="both"/>
            </w:pPr>
          </w:p>
        </w:tc>
        <w:tc>
          <w:tcPr>
            <w:tcW w:w="1583" w:type="dxa"/>
          </w:tcPr>
          <w:p w:rsidR="00271CD9" w:rsidRPr="004F78A7" w:rsidRDefault="00271CD9" w:rsidP="00C609DB">
            <w:pPr>
              <w:pStyle w:val="a4"/>
              <w:ind w:left="0"/>
              <w:jc w:val="center"/>
            </w:pPr>
          </w:p>
          <w:p w:rsidR="00271CD9" w:rsidRPr="007F2FE4" w:rsidRDefault="007527FD" w:rsidP="007F2FE4">
            <w:pPr>
              <w:pStyle w:val="a4"/>
              <w:ind w:left="0"/>
              <w:jc w:val="center"/>
            </w:pPr>
            <w:r w:rsidRPr="007527FD">
              <w:t>1</w:t>
            </w:r>
            <w:r w:rsidR="007F2FE4">
              <w:t>7</w:t>
            </w:r>
            <w:r w:rsidR="00C92103">
              <w:t> </w:t>
            </w:r>
            <w:r w:rsidRPr="007527FD">
              <w:rPr>
                <w:lang w:val="en-US"/>
              </w:rPr>
              <w:t>5</w:t>
            </w:r>
            <w:r w:rsidR="007F2FE4">
              <w:t>45</w:t>
            </w:r>
          </w:p>
        </w:tc>
        <w:tc>
          <w:tcPr>
            <w:tcW w:w="979" w:type="dxa"/>
          </w:tcPr>
          <w:p w:rsidR="00271CD9" w:rsidRPr="004F78A7" w:rsidRDefault="00271CD9" w:rsidP="00C609DB">
            <w:pPr>
              <w:pStyle w:val="a4"/>
              <w:ind w:left="0"/>
              <w:jc w:val="center"/>
            </w:pPr>
          </w:p>
          <w:p w:rsidR="00271CD9" w:rsidRPr="004F78A7" w:rsidRDefault="00EF72CF" w:rsidP="00C609DB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71CD9" w:rsidRDefault="00271CD9" w:rsidP="00CE48E3">
            <w:pPr>
              <w:pStyle w:val="a4"/>
              <w:ind w:left="0"/>
              <w:jc w:val="center"/>
              <w:rPr>
                <w:lang w:val="en-US"/>
              </w:rPr>
            </w:pPr>
          </w:p>
          <w:p w:rsidR="00EC109A" w:rsidRPr="00EC109A" w:rsidRDefault="006B0307" w:rsidP="00353115">
            <w:pPr>
              <w:pStyle w:val="a4"/>
              <w:ind w:left="0"/>
              <w:jc w:val="center"/>
            </w:pPr>
            <w:r w:rsidRPr="006B0307">
              <w:t>20 </w:t>
            </w:r>
            <w:r w:rsidR="008E4D1A" w:rsidRPr="00353115">
              <w:t>091</w:t>
            </w:r>
          </w:p>
        </w:tc>
        <w:tc>
          <w:tcPr>
            <w:tcW w:w="1909" w:type="dxa"/>
          </w:tcPr>
          <w:p w:rsidR="00271CD9" w:rsidRPr="00E46D9B" w:rsidRDefault="00BC5D32" w:rsidP="00314B71">
            <w:pPr>
              <w:pStyle w:val="a4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267335</wp:posOffset>
                      </wp:positionV>
                      <wp:extent cx="200025" cy="200025"/>
                      <wp:effectExtent l="57150" t="19050" r="28575" b="10477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DE8" w:rsidRPr="00271CD9" w:rsidRDefault="002A7DE8" w:rsidP="00314B71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left:0;text-align:left;margin-left:35.85pt;margin-top:21.05pt;width:1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" fillcolor="white [3212]" strokecolor="black [3213]">
                      <v:shadow on="t" color="black" opacity="22937f" origin=",.5" offset="0,.63889mm"/>
                      <v:path arrowok="t"/>
                      <v:textbox>
                        <w:txbxContent>
                          <w:p w:rsidR="002A7DE8" w:rsidRPr="00271CD9" w:rsidRDefault="002A7DE8" w:rsidP="00314B7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C609DB" w:rsidRDefault="00C609DB" w:rsidP="00C609DB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3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Каждый показатель указывается в отдельной строке.</w:t>
      </w:r>
    </w:p>
    <w:p w:rsidR="00C609DB" w:rsidRDefault="00C609DB" w:rsidP="00C609DB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C609DB" w:rsidRPr="00E46D9B" w:rsidRDefault="00C609DB" w:rsidP="00C609DB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E46D9B">
        <w:rPr>
          <w:sz w:val="22"/>
          <w:szCs w:val="22"/>
        </w:rPr>
        <w:t>аполняется в соответствии с динамикой относительно предыдущего года</w:t>
      </w:r>
      <w:r>
        <w:rPr>
          <w:sz w:val="22"/>
          <w:szCs w:val="22"/>
        </w:rPr>
        <w:t xml:space="preserve"> (с точки зрения достижения целевого значения показателя)</w:t>
      </w:r>
      <w:r w:rsidRPr="00E46D9B">
        <w:rPr>
          <w:sz w:val="22"/>
          <w:szCs w:val="22"/>
        </w:rPr>
        <w:t xml:space="preserve">: </w:t>
      </w:r>
    </w:p>
    <w:p w:rsidR="00C609DB" w:rsidRPr="00BF3247" w:rsidRDefault="00BC5D32" w:rsidP="00C609DB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32385</wp:posOffset>
                </wp:positionV>
                <wp:extent cx="135890" cy="127000"/>
                <wp:effectExtent l="57150" t="19050" r="35560" b="1016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62A61" id="Овал 4" o:spid="_x0000_s1026" style="position:absolute;margin-left:18.9pt;margin-top:2.55pt;width:10.7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" fillcolor="white [3212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C609DB" w:rsidRPr="006D215D">
        <w:rPr>
          <w:noProof/>
          <w:sz w:val="22"/>
          <w:szCs w:val="22"/>
        </w:rPr>
        <w:t xml:space="preserve">улучшение ситуации </w:t>
      </w:r>
      <w:r w:rsidR="00C609DB">
        <w:rPr>
          <w:noProof/>
          <w:sz w:val="22"/>
          <w:szCs w:val="22"/>
        </w:rPr>
        <w:t xml:space="preserve">в отрасли </w:t>
      </w:r>
      <w:r w:rsidR="00C609DB" w:rsidRPr="006D215D">
        <w:rPr>
          <w:noProof/>
          <w:sz w:val="22"/>
          <w:szCs w:val="22"/>
        </w:rPr>
        <w:t>по сравнению с</w:t>
      </w:r>
      <w:r w:rsidR="00C609DB" w:rsidRPr="00BF3247">
        <w:rPr>
          <w:sz w:val="22"/>
          <w:szCs w:val="22"/>
        </w:rPr>
        <w:t xml:space="preserve"> предыдущим годом</w:t>
      </w:r>
      <w:r w:rsidR="00C609DB">
        <w:rPr>
          <w:sz w:val="22"/>
          <w:szCs w:val="22"/>
        </w:rPr>
        <w:t>;</w:t>
      </w:r>
    </w:p>
    <w:p w:rsidR="00C609DB" w:rsidRPr="00E46D9B" w:rsidRDefault="00BC5D32" w:rsidP="00C609DB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26670</wp:posOffset>
                </wp:positionV>
                <wp:extent cx="135890" cy="127000"/>
                <wp:effectExtent l="13970" t="13335" r="12065" b="3111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pattFill prst="pct5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D7895" id="Oval 14" o:spid="_x0000_s1026" style="position:absolute;margin-left:18.8pt;margin-top:2.1pt;width:10.7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" fillcolor="black [3213]" strokecolor="black [3213]">
                <v:fill r:id="rId11" o:title="" color2="white [3212]" type="pattern"/>
                <v:shadow on="t" color="black" opacity="22936f" origin=",.5" offset="0,.63889mm"/>
              </v:oval>
            </w:pict>
          </mc:Fallback>
        </mc:AlternateContent>
      </w:r>
      <w:r w:rsidR="00C609DB">
        <w:rPr>
          <w:sz w:val="22"/>
          <w:szCs w:val="22"/>
        </w:rPr>
        <w:t xml:space="preserve">ситуация не изменилась; </w:t>
      </w:r>
    </w:p>
    <w:p w:rsidR="00C609DB" w:rsidRDefault="00BC5D32" w:rsidP="00C609DB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26035</wp:posOffset>
                </wp:positionV>
                <wp:extent cx="135890" cy="127000"/>
                <wp:effectExtent l="57150" t="19050" r="35560" b="1016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B9226" id="Овал 2" o:spid="_x0000_s1026" style="position:absolute;margin-left:18.3pt;margin-top:2.05pt;width:10.7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" fillcolor="black [3213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C609DB" w:rsidRPr="001F6979">
        <w:rPr>
          <w:noProof/>
          <w:sz w:val="22"/>
          <w:szCs w:val="22"/>
        </w:rPr>
        <w:t>ухудшение ситуации по сравнению с</w:t>
      </w:r>
      <w:r w:rsidR="00C609DB" w:rsidRPr="001F6979">
        <w:rPr>
          <w:sz w:val="22"/>
          <w:szCs w:val="22"/>
        </w:rPr>
        <w:t xml:space="preserve"> предыдущим годом.</w:t>
      </w:r>
    </w:p>
    <w:p w:rsidR="00FD0CAA" w:rsidRDefault="00FD0CAA" w:rsidP="00FD0CAA">
      <w:pPr>
        <w:contextualSpacing/>
        <w:rPr>
          <w:sz w:val="22"/>
          <w:szCs w:val="22"/>
        </w:rPr>
      </w:pPr>
    </w:p>
    <w:p w:rsidR="00FD0CAA" w:rsidRDefault="00FD0CAA" w:rsidP="00FD0CAA">
      <w:pPr>
        <w:contextualSpacing/>
        <w:rPr>
          <w:sz w:val="22"/>
          <w:szCs w:val="22"/>
        </w:rPr>
      </w:pP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E46D9B">
        <w:rPr>
          <w:sz w:val="28"/>
          <w:szCs w:val="28"/>
        </w:rPr>
        <w:t>. 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отраслевого документа</w:t>
      </w:r>
      <w:r>
        <w:rPr>
          <w:sz w:val="28"/>
          <w:szCs w:val="28"/>
        </w:rPr>
        <w:t xml:space="preserve"> стратегического планирования</w:t>
      </w:r>
    </w:p>
    <w:tbl>
      <w:tblPr>
        <w:tblStyle w:val="a3"/>
        <w:tblW w:w="97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3444"/>
      </w:tblGrid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 w:rsidRPr="00E46D9B">
              <w:t>№ п/п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ind w:left="-113" w:right="20" w:firstLine="9"/>
              <w:jc w:val="center"/>
            </w:pPr>
            <w:r w:rsidRPr="00E46D9B">
              <w:t>Наименование государственной программы Российской Федерации</w:t>
            </w:r>
            <w:r>
              <w:t xml:space="preserve"> (госпрограммы), федеральной целевой программы (ФЦП) либо</w:t>
            </w:r>
            <w:r>
              <w:br/>
              <w:t>их составляющих</w:t>
            </w:r>
            <w:r>
              <w:rPr>
                <w:vertAlign w:val="superscript"/>
              </w:rPr>
              <w:t>6</w:t>
            </w:r>
          </w:p>
        </w:tc>
        <w:tc>
          <w:tcPr>
            <w:tcW w:w="3444" w:type="dxa"/>
          </w:tcPr>
          <w:p w:rsidR="00FD0CAA" w:rsidRPr="00E46D9B" w:rsidRDefault="00FD0CAA" w:rsidP="00FD0CAA">
            <w:pPr>
              <w:jc w:val="center"/>
            </w:pPr>
            <w:r w:rsidRPr="00E46D9B">
              <w:t>Объем бюджетных ассигнований, выделенных</w:t>
            </w:r>
            <w:r>
              <w:br/>
            </w:r>
            <w:r w:rsidRPr="00E46D9B">
              <w:t>в отчетном году</w:t>
            </w:r>
            <w:r>
              <w:t xml:space="preserve"> на реализацию отраслевого документа стратегического планирования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ind w:left="-113" w:right="20" w:firstLine="9"/>
              <w:jc w:val="center"/>
            </w:pPr>
            <w:r>
              <w:t>2</w:t>
            </w:r>
          </w:p>
        </w:tc>
        <w:tc>
          <w:tcPr>
            <w:tcW w:w="3444" w:type="dxa"/>
          </w:tcPr>
          <w:p w:rsidR="00FD0CAA" w:rsidRPr="00E46D9B" w:rsidRDefault="00FD0CAA" w:rsidP="00FD0CAA">
            <w:pPr>
              <w:jc w:val="center"/>
            </w:pPr>
            <w:r>
              <w:t>3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6.1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jc w:val="center"/>
            </w:pPr>
            <w:r w:rsidRPr="00E46D9B">
              <w:t xml:space="preserve">Наименование </w:t>
            </w:r>
            <w:r>
              <w:t>госпрограммы</w:t>
            </w:r>
            <w:r w:rsidRPr="00E46D9B">
              <w:t>:</w:t>
            </w:r>
          </w:p>
          <w:p w:rsidR="00FD0CAA" w:rsidRPr="00E46D9B" w:rsidRDefault="00FD0CAA" w:rsidP="00FD0CAA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u w:val="single"/>
              </w:rPr>
              <w:t xml:space="preserve">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7B478E" w:rsidRPr="00E46D9B" w:rsidRDefault="00FD0CAA" w:rsidP="007B478E">
            <w:pPr>
              <w:jc w:val="center"/>
            </w:pPr>
            <w:r w:rsidRPr="00E46D9B">
              <w:t>(указывается наименование)</w:t>
            </w:r>
          </w:p>
        </w:tc>
        <w:tc>
          <w:tcPr>
            <w:tcW w:w="3444" w:type="dxa"/>
          </w:tcPr>
          <w:p w:rsidR="00647769" w:rsidRDefault="00647769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6.1.1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jc w:val="center"/>
            </w:pPr>
            <w:r w:rsidRPr="00E46D9B">
              <w:t xml:space="preserve">Наименование </w:t>
            </w:r>
            <w:r>
              <w:t>подпрограммы/ФЦП госпрограммы</w:t>
            </w:r>
            <w:r w:rsidRPr="00E46D9B">
              <w:t>:</w:t>
            </w:r>
          </w:p>
          <w:p w:rsidR="00FD0CAA" w:rsidRPr="00E46D9B" w:rsidRDefault="00FD0CAA" w:rsidP="00FD0CAA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u w:val="single"/>
              </w:rPr>
              <w:t xml:space="preserve">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FD0CAA" w:rsidRPr="00E46D9B" w:rsidRDefault="00FD0CAA" w:rsidP="00FD0CAA">
            <w:pPr>
              <w:jc w:val="center"/>
            </w:pPr>
            <w:r w:rsidRPr="00E46D9B">
              <w:t>(указывается наименование)</w:t>
            </w:r>
          </w:p>
        </w:tc>
        <w:tc>
          <w:tcPr>
            <w:tcW w:w="3444" w:type="dxa"/>
          </w:tcPr>
          <w:p w:rsidR="00647769" w:rsidRDefault="00647769" w:rsidP="00FD0CAA">
            <w:pPr>
              <w:jc w:val="center"/>
            </w:pPr>
          </w:p>
          <w:p w:rsidR="00647769" w:rsidRDefault="00647769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6.1.1.1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jc w:val="center"/>
            </w:pPr>
            <w:r w:rsidRPr="00E46D9B">
              <w:t xml:space="preserve">Наименование </w:t>
            </w:r>
            <w:r>
              <w:t>основного мероприятия подпрограммы госпрограммы/мероприятия в рамках ФЦП</w:t>
            </w:r>
            <w:r w:rsidRPr="00E46D9B">
              <w:t>:</w:t>
            </w:r>
          </w:p>
          <w:p w:rsidR="00FD0CAA" w:rsidRPr="00E46D9B" w:rsidRDefault="00FD0CAA" w:rsidP="00FD0CAA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u w:val="single"/>
              </w:rPr>
              <w:t xml:space="preserve">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FD0CAA" w:rsidRPr="00E46D9B" w:rsidRDefault="00FD0CAA" w:rsidP="00FD0CAA">
            <w:pPr>
              <w:jc w:val="center"/>
            </w:pPr>
            <w:r w:rsidRPr="00E46D9B">
              <w:t>(указывается наименование)</w:t>
            </w:r>
          </w:p>
        </w:tc>
        <w:tc>
          <w:tcPr>
            <w:tcW w:w="3444" w:type="dxa"/>
          </w:tcPr>
          <w:p w:rsidR="0048681F" w:rsidRDefault="0048681F" w:rsidP="00FD0CAA">
            <w:pPr>
              <w:jc w:val="center"/>
            </w:pPr>
          </w:p>
          <w:p w:rsidR="0048681F" w:rsidRDefault="0048681F" w:rsidP="00FD0CAA">
            <w:pPr>
              <w:jc w:val="center"/>
            </w:pPr>
          </w:p>
          <w:p w:rsidR="0048681F" w:rsidRDefault="0048681F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</w:tbl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6 </w:t>
      </w:r>
      <w:r>
        <w:rPr>
          <w:sz w:val="22"/>
          <w:szCs w:val="22"/>
        </w:rPr>
        <w:t xml:space="preserve">Указываются все госпрограммы, механизмы которых используются для реализации отраслевого документа стратегического планирования. 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столбце 3 указывается общий объем средств федерального бюджета в рамках госпрограммы.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столбце 3 приводится соответствующий объем бюджетных ассигнований. 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FD0CAA" w:rsidRPr="00E46D9B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46D9B">
        <w:rPr>
          <w:sz w:val="28"/>
          <w:szCs w:val="28"/>
        </w:rPr>
        <w:t>. Данные об объемах привлеченного внебюджетного финансирования,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в том числе на принципах государственно-частного партнерства, в рамках реализации отраслевого документа</w:t>
      </w:r>
      <w:r>
        <w:rPr>
          <w:sz w:val="28"/>
          <w:szCs w:val="28"/>
        </w:rPr>
        <w:t xml:space="preserve"> стратегического планирования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7"/>
        <w:gridCol w:w="1985"/>
        <w:gridCol w:w="2126"/>
      </w:tblGrid>
      <w:tr w:rsidR="00FD0CAA" w:rsidRPr="00E46D9B" w:rsidTr="00FD0CAA">
        <w:tc>
          <w:tcPr>
            <w:tcW w:w="959" w:type="dxa"/>
          </w:tcPr>
          <w:p w:rsidR="00FD0CAA" w:rsidRPr="00E46D9B" w:rsidRDefault="00FD0CAA" w:rsidP="00FD0CAA">
            <w:pPr>
              <w:jc w:val="center"/>
            </w:pPr>
            <w:r w:rsidRPr="00E46D9B">
              <w:t>№ п/п</w:t>
            </w:r>
          </w:p>
        </w:tc>
        <w:tc>
          <w:tcPr>
            <w:tcW w:w="4677" w:type="dxa"/>
            <w:vAlign w:val="center"/>
          </w:tcPr>
          <w:p w:rsidR="00FD0CAA" w:rsidRPr="00E46D9B" w:rsidRDefault="00FD0CAA" w:rsidP="00FD0CAA">
            <w:pPr>
              <w:ind w:left="-113" w:right="20" w:firstLine="9"/>
              <w:jc w:val="center"/>
            </w:pPr>
            <w:r w:rsidRPr="00E46D9B">
              <w:t xml:space="preserve">Наименование направления </w:t>
            </w:r>
          </w:p>
        </w:tc>
        <w:tc>
          <w:tcPr>
            <w:tcW w:w="1985" w:type="dxa"/>
          </w:tcPr>
          <w:p w:rsidR="00FD0CAA" w:rsidRPr="00E46D9B" w:rsidRDefault="00FD0CAA" w:rsidP="00FD0CAA">
            <w:pPr>
              <w:jc w:val="center"/>
            </w:pPr>
            <w:r w:rsidRPr="00E46D9B">
              <w:t>Объем внебюджетн</w:t>
            </w:r>
            <w:r>
              <w:t>ого</w:t>
            </w:r>
            <w:r w:rsidRPr="00E46D9B">
              <w:t xml:space="preserve"> </w:t>
            </w:r>
            <w:r>
              <w:t>финансирования</w:t>
            </w:r>
          </w:p>
        </w:tc>
        <w:tc>
          <w:tcPr>
            <w:tcW w:w="2126" w:type="dxa"/>
            <w:vAlign w:val="center"/>
          </w:tcPr>
          <w:p w:rsidR="00FD0CAA" w:rsidRPr="00C54F8E" w:rsidRDefault="00FD0CAA" w:rsidP="00FD0CAA">
            <w:pPr>
              <w:jc w:val="center"/>
              <w:rPr>
                <w:vertAlign w:val="superscript"/>
              </w:rPr>
            </w:pPr>
            <w:r>
              <w:t>Источник информации</w:t>
            </w:r>
            <w:r>
              <w:rPr>
                <w:vertAlign w:val="superscript"/>
              </w:rPr>
              <w:t>7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Pr="00E46D9B" w:rsidRDefault="00FD0CAA" w:rsidP="00FD0CAA">
            <w:r>
              <w:lastRenderedPageBreak/>
              <w:t>7</w:t>
            </w:r>
            <w:r w:rsidRPr="00E46D9B">
              <w:t>.1</w:t>
            </w:r>
          </w:p>
        </w:tc>
        <w:tc>
          <w:tcPr>
            <w:tcW w:w="4677" w:type="dxa"/>
            <w:vAlign w:val="center"/>
          </w:tcPr>
          <w:p w:rsidR="00FD0CAA" w:rsidRPr="00E46D9B" w:rsidRDefault="00FD0CAA" w:rsidP="00FD0CAA">
            <w:pPr>
              <w:ind w:left="175" w:right="20" w:firstLine="1"/>
              <w:jc w:val="both"/>
            </w:pPr>
            <w:r>
              <w:t>Внебюджетные средства в рамках государственных программ Российской Федерации</w:t>
            </w:r>
            <w:r w:rsidRPr="00E46D9B">
              <w:t xml:space="preserve"> 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175" w:right="20" w:firstLine="1"/>
              <w:jc w:val="both"/>
            </w:pPr>
            <w:r>
              <w:t>Внебюджетные средства в рамках механизма государственно-частного партнерства, в том числе в разрезе проектов, реализуемых на: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7.2.1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34" w:right="20" w:firstLine="142"/>
              <w:jc w:val="both"/>
            </w:pPr>
            <w:r>
              <w:t>Федеральном уровне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7.2.2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34" w:right="20" w:firstLine="142"/>
              <w:jc w:val="both"/>
            </w:pPr>
            <w:r>
              <w:t>Региональном уровне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7.2.3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34" w:right="20" w:firstLine="142"/>
              <w:jc w:val="both"/>
            </w:pPr>
            <w:r>
              <w:t>Муниципальном уровне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7.3</w:t>
            </w:r>
          </w:p>
        </w:tc>
        <w:tc>
          <w:tcPr>
            <w:tcW w:w="4677" w:type="dxa"/>
            <w:vAlign w:val="center"/>
          </w:tcPr>
          <w:p w:rsidR="00FD0CAA" w:rsidRPr="00305AAB" w:rsidRDefault="00FD0CAA" w:rsidP="00FD0CAA">
            <w:pPr>
              <w:ind w:left="34" w:right="20" w:firstLine="142"/>
              <w:jc w:val="both"/>
              <w:rPr>
                <w:vertAlign w:val="superscript"/>
              </w:rPr>
            </w:pPr>
            <w:r>
              <w:t>Внебюджетные инвестиции</w:t>
            </w:r>
            <w:r>
              <w:rPr>
                <w:vertAlign w:val="superscript"/>
              </w:rPr>
              <w:t>8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</w:tbl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 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8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К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:rsidR="00315474" w:rsidRDefault="00315474"/>
    <w:p w:rsidR="00B93A5A" w:rsidRDefault="00B93A5A"/>
    <w:p w:rsidR="00B93A5A" w:rsidRDefault="00B93A5A"/>
    <w:p w:rsidR="00B93A5A" w:rsidRDefault="00B93A5A"/>
    <w:p w:rsidR="00B93A5A" w:rsidRDefault="00B93A5A" w:rsidP="00B93A5A">
      <w:pPr>
        <w:jc w:val="center"/>
      </w:pPr>
      <w:r w:rsidRPr="00B93A5A">
        <w:t>[SIGNERSTAMP1]</w:t>
      </w:r>
    </w:p>
    <w:sectPr w:rsidR="00B93A5A" w:rsidSect="00C92103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F9" w:rsidRDefault="001D0FF9" w:rsidP="00AD04C9">
      <w:r>
        <w:separator/>
      </w:r>
    </w:p>
  </w:endnote>
  <w:endnote w:type="continuationSeparator" w:id="0">
    <w:p w:rsidR="001D0FF9" w:rsidRDefault="001D0FF9" w:rsidP="00AD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F9" w:rsidRDefault="001D0FF9" w:rsidP="00AD04C9">
      <w:r>
        <w:separator/>
      </w:r>
    </w:p>
  </w:footnote>
  <w:footnote w:type="continuationSeparator" w:id="0">
    <w:p w:rsidR="001D0FF9" w:rsidRDefault="001D0FF9" w:rsidP="00AD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7925"/>
      <w:docPartObj>
        <w:docPartGallery w:val="Page Numbers (Top of Page)"/>
        <w:docPartUnique/>
      </w:docPartObj>
    </w:sdtPr>
    <w:sdtEndPr/>
    <w:sdtContent>
      <w:p w:rsidR="002A7DE8" w:rsidRDefault="0019653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4E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7DE8" w:rsidRDefault="002A7D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F02B3"/>
    <w:multiLevelType w:val="hybridMultilevel"/>
    <w:tmpl w:val="9B34ACEC"/>
    <w:lvl w:ilvl="0" w:tplc="807216F2">
      <w:numFmt w:val="bullet"/>
      <w:lvlText w:val="˗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92D2356"/>
    <w:multiLevelType w:val="hybridMultilevel"/>
    <w:tmpl w:val="A3D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6"/>
    <w:rsid w:val="000005B4"/>
    <w:rsid w:val="000241A9"/>
    <w:rsid w:val="00041F28"/>
    <w:rsid w:val="00055DBA"/>
    <w:rsid w:val="00066530"/>
    <w:rsid w:val="000720BE"/>
    <w:rsid w:val="000756C5"/>
    <w:rsid w:val="000B20D0"/>
    <w:rsid w:val="000C0683"/>
    <w:rsid w:val="000C549A"/>
    <w:rsid w:val="000C5E27"/>
    <w:rsid w:val="000C5EEB"/>
    <w:rsid w:val="000D295F"/>
    <w:rsid w:val="000D673B"/>
    <w:rsid w:val="0010716C"/>
    <w:rsid w:val="0011410A"/>
    <w:rsid w:val="001158F0"/>
    <w:rsid w:val="0013377F"/>
    <w:rsid w:val="00141C3F"/>
    <w:rsid w:val="0014207A"/>
    <w:rsid w:val="00146B15"/>
    <w:rsid w:val="001569CD"/>
    <w:rsid w:val="00157F23"/>
    <w:rsid w:val="00163000"/>
    <w:rsid w:val="00172BF8"/>
    <w:rsid w:val="001833E1"/>
    <w:rsid w:val="00196538"/>
    <w:rsid w:val="00196D91"/>
    <w:rsid w:val="001C2FAB"/>
    <w:rsid w:val="001C3FEA"/>
    <w:rsid w:val="001C47DA"/>
    <w:rsid w:val="001D0FF9"/>
    <w:rsid w:val="001E33D0"/>
    <w:rsid w:val="0021378E"/>
    <w:rsid w:val="00230395"/>
    <w:rsid w:val="002511AB"/>
    <w:rsid w:val="00261DDF"/>
    <w:rsid w:val="00263E09"/>
    <w:rsid w:val="00271CD9"/>
    <w:rsid w:val="00277384"/>
    <w:rsid w:val="0027764D"/>
    <w:rsid w:val="002857D2"/>
    <w:rsid w:val="002A7DE8"/>
    <w:rsid w:val="002C311D"/>
    <w:rsid w:val="002D15E4"/>
    <w:rsid w:val="002D3DA6"/>
    <w:rsid w:val="002E50F2"/>
    <w:rsid w:val="002F0B19"/>
    <w:rsid w:val="002F34BE"/>
    <w:rsid w:val="0030050A"/>
    <w:rsid w:val="00304897"/>
    <w:rsid w:val="00304A27"/>
    <w:rsid w:val="0030515D"/>
    <w:rsid w:val="0031268D"/>
    <w:rsid w:val="00314AB1"/>
    <w:rsid w:val="00314B71"/>
    <w:rsid w:val="00315474"/>
    <w:rsid w:val="00321EF7"/>
    <w:rsid w:val="003355ED"/>
    <w:rsid w:val="003462CD"/>
    <w:rsid w:val="00351E71"/>
    <w:rsid w:val="00353115"/>
    <w:rsid w:val="00354CC3"/>
    <w:rsid w:val="00354EEC"/>
    <w:rsid w:val="003744BF"/>
    <w:rsid w:val="00396278"/>
    <w:rsid w:val="003A5B27"/>
    <w:rsid w:val="003A7DCC"/>
    <w:rsid w:val="003B1C37"/>
    <w:rsid w:val="003B3F5F"/>
    <w:rsid w:val="003C6584"/>
    <w:rsid w:val="003E0AEC"/>
    <w:rsid w:val="003F3406"/>
    <w:rsid w:val="003F4A82"/>
    <w:rsid w:val="00410100"/>
    <w:rsid w:val="004159B8"/>
    <w:rsid w:val="00415E39"/>
    <w:rsid w:val="00431F0F"/>
    <w:rsid w:val="00433AC4"/>
    <w:rsid w:val="0044365D"/>
    <w:rsid w:val="004454D9"/>
    <w:rsid w:val="00450C5A"/>
    <w:rsid w:val="0048681F"/>
    <w:rsid w:val="00491357"/>
    <w:rsid w:val="004957FA"/>
    <w:rsid w:val="004973D5"/>
    <w:rsid w:val="004A0EE7"/>
    <w:rsid w:val="004A5B7E"/>
    <w:rsid w:val="004A7C04"/>
    <w:rsid w:val="004B6914"/>
    <w:rsid w:val="004E080A"/>
    <w:rsid w:val="004E128B"/>
    <w:rsid w:val="004E2751"/>
    <w:rsid w:val="004F0A88"/>
    <w:rsid w:val="004F0F49"/>
    <w:rsid w:val="004F78A7"/>
    <w:rsid w:val="00502DD7"/>
    <w:rsid w:val="0050545E"/>
    <w:rsid w:val="00505724"/>
    <w:rsid w:val="00523001"/>
    <w:rsid w:val="005310D5"/>
    <w:rsid w:val="00532534"/>
    <w:rsid w:val="005610FB"/>
    <w:rsid w:val="00572322"/>
    <w:rsid w:val="0057533A"/>
    <w:rsid w:val="00580353"/>
    <w:rsid w:val="00596146"/>
    <w:rsid w:val="005A0FE1"/>
    <w:rsid w:val="005A1D87"/>
    <w:rsid w:val="005A43A1"/>
    <w:rsid w:val="005B42B5"/>
    <w:rsid w:val="005B48E2"/>
    <w:rsid w:val="005B619A"/>
    <w:rsid w:val="005E1165"/>
    <w:rsid w:val="005E317F"/>
    <w:rsid w:val="005F3D29"/>
    <w:rsid w:val="00606A6C"/>
    <w:rsid w:val="0061168C"/>
    <w:rsid w:val="00620C65"/>
    <w:rsid w:val="00627BCB"/>
    <w:rsid w:val="006325D6"/>
    <w:rsid w:val="0064508B"/>
    <w:rsid w:val="0064696A"/>
    <w:rsid w:val="00647769"/>
    <w:rsid w:val="006673C3"/>
    <w:rsid w:val="006759B5"/>
    <w:rsid w:val="00675EF7"/>
    <w:rsid w:val="006A26A1"/>
    <w:rsid w:val="006B0307"/>
    <w:rsid w:val="006B478C"/>
    <w:rsid w:val="006B4EF1"/>
    <w:rsid w:val="006B7386"/>
    <w:rsid w:val="006C35A7"/>
    <w:rsid w:val="006C5442"/>
    <w:rsid w:val="006D26B3"/>
    <w:rsid w:val="006E431F"/>
    <w:rsid w:val="00704A5C"/>
    <w:rsid w:val="00704FF7"/>
    <w:rsid w:val="00713F54"/>
    <w:rsid w:val="007174AF"/>
    <w:rsid w:val="00727BD8"/>
    <w:rsid w:val="00730DB1"/>
    <w:rsid w:val="00752237"/>
    <w:rsid w:val="007527FD"/>
    <w:rsid w:val="00767A72"/>
    <w:rsid w:val="00771535"/>
    <w:rsid w:val="00777028"/>
    <w:rsid w:val="0078428B"/>
    <w:rsid w:val="00784EDA"/>
    <w:rsid w:val="007A1B12"/>
    <w:rsid w:val="007B478E"/>
    <w:rsid w:val="007F0AE9"/>
    <w:rsid w:val="007F2FE4"/>
    <w:rsid w:val="007F5015"/>
    <w:rsid w:val="00801E71"/>
    <w:rsid w:val="0081459E"/>
    <w:rsid w:val="00840A78"/>
    <w:rsid w:val="0084201A"/>
    <w:rsid w:val="00843748"/>
    <w:rsid w:val="00847296"/>
    <w:rsid w:val="0085019C"/>
    <w:rsid w:val="00852A2E"/>
    <w:rsid w:val="00853358"/>
    <w:rsid w:val="00872FD0"/>
    <w:rsid w:val="008833CA"/>
    <w:rsid w:val="00886AD9"/>
    <w:rsid w:val="008D2EE2"/>
    <w:rsid w:val="008E4D1A"/>
    <w:rsid w:val="00917B77"/>
    <w:rsid w:val="00935E6E"/>
    <w:rsid w:val="00942BAE"/>
    <w:rsid w:val="00966CB6"/>
    <w:rsid w:val="0097033D"/>
    <w:rsid w:val="00973955"/>
    <w:rsid w:val="00983F8B"/>
    <w:rsid w:val="00985AAF"/>
    <w:rsid w:val="009900AF"/>
    <w:rsid w:val="009A59D5"/>
    <w:rsid w:val="009A7D9E"/>
    <w:rsid w:val="009B4C41"/>
    <w:rsid w:val="009C165A"/>
    <w:rsid w:val="009D5B14"/>
    <w:rsid w:val="009E4499"/>
    <w:rsid w:val="009F698B"/>
    <w:rsid w:val="00A002B6"/>
    <w:rsid w:val="00A118EB"/>
    <w:rsid w:val="00A474A2"/>
    <w:rsid w:val="00A568EC"/>
    <w:rsid w:val="00A60799"/>
    <w:rsid w:val="00A672D5"/>
    <w:rsid w:val="00A72FCC"/>
    <w:rsid w:val="00A73359"/>
    <w:rsid w:val="00A75DF4"/>
    <w:rsid w:val="00A86D2F"/>
    <w:rsid w:val="00AA4952"/>
    <w:rsid w:val="00AD04C9"/>
    <w:rsid w:val="00AD24AE"/>
    <w:rsid w:val="00AD7348"/>
    <w:rsid w:val="00AE09D3"/>
    <w:rsid w:val="00AF5323"/>
    <w:rsid w:val="00AF79C1"/>
    <w:rsid w:val="00B10E59"/>
    <w:rsid w:val="00B129F0"/>
    <w:rsid w:val="00B20FB3"/>
    <w:rsid w:val="00B214B9"/>
    <w:rsid w:val="00B22BF6"/>
    <w:rsid w:val="00B4150D"/>
    <w:rsid w:val="00B4401A"/>
    <w:rsid w:val="00B46311"/>
    <w:rsid w:val="00B674F6"/>
    <w:rsid w:val="00B914CA"/>
    <w:rsid w:val="00B93A5A"/>
    <w:rsid w:val="00B94D2C"/>
    <w:rsid w:val="00BA2FF6"/>
    <w:rsid w:val="00BA5690"/>
    <w:rsid w:val="00BB2197"/>
    <w:rsid w:val="00BB2D16"/>
    <w:rsid w:val="00BB4959"/>
    <w:rsid w:val="00BC1F17"/>
    <w:rsid w:val="00BC5D32"/>
    <w:rsid w:val="00BE2F13"/>
    <w:rsid w:val="00C2610B"/>
    <w:rsid w:val="00C31B13"/>
    <w:rsid w:val="00C608A1"/>
    <w:rsid w:val="00C609DB"/>
    <w:rsid w:val="00C61C86"/>
    <w:rsid w:val="00C81640"/>
    <w:rsid w:val="00C92103"/>
    <w:rsid w:val="00CA03F6"/>
    <w:rsid w:val="00CB12D2"/>
    <w:rsid w:val="00CB227C"/>
    <w:rsid w:val="00CD478C"/>
    <w:rsid w:val="00CD4C89"/>
    <w:rsid w:val="00CE48E3"/>
    <w:rsid w:val="00CE57F5"/>
    <w:rsid w:val="00D0091D"/>
    <w:rsid w:val="00D109A9"/>
    <w:rsid w:val="00D10A00"/>
    <w:rsid w:val="00D10A81"/>
    <w:rsid w:val="00D559F6"/>
    <w:rsid w:val="00D74E36"/>
    <w:rsid w:val="00D83E18"/>
    <w:rsid w:val="00D849C6"/>
    <w:rsid w:val="00D92ABC"/>
    <w:rsid w:val="00D947D0"/>
    <w:rsid w:val="00DA1769"/>
    <w:rsid w:val="00DA5E65"/>
    <w:rsid w:val="00DB3614"/>
    <w:rsid w:val="00DD08A3"/>
    <w:rsid w:val="00DE6AC1"/>
    <w:rsid w:val="00E02A44"/>
    <w:rsid w:val="00E05246"/>
    <w:rsid w:val="00E05DA6"/>
    <w:rsid w:val="00E10A8E"/>
    <w:rsid w:val="00E45820"/>
    <w:rsid w:val="00E523BC"/>
    <w:rsid w:val="00E54CCA"/>
    <w:rsid w:val="00E63008"/>
    <w:rsid w:val="00E70CBB"/>
    <w:rsid w:val="00E71E08"/>
    <w:rsid w:val="00E84E23"/>
    <w:rsid w:val="00E90DAB"/>
    <w:rsid w:val="00E92AA6"/>
    <w:rsid w:val="00EA1846"/>
    <w:rsid w:val="00EB4CB9"/>
    <w:rsid w:val="00EC109A"/>
    <w:rsid w:val="00EE1F09"/>
    <w:rsid w:val="00EF2497"/>
    <w:rsid w:val="00EF72CF"/>
    <w:rsid w:val="00F00490"/>
    <w:rsid w:val="00F16401"/>
    <w:rsid w:val="00F3522B"/>
    <w:rsid w:val="00F408B8"/>
    <w:rsid w:val="00F52263"/>
    <w:rsid w:val="00F635B8"/>
    <w:rsid w:val="00F67952"/>
    <w:rsid w:val="00F83D69"/>
    <w:rsid w:val="00F85B0D"/>
    <w:rsid w:val="00FA19EE"/>
    <w:rsid w:val="00FA5A0F"/>
    <w:rsid w:val="00FA7A02"/>
    <w:rsid w:val="00FD0069"/>
    <w:rsid w:val="00FD0A0A"/>
    <w:rsid w:val="00FD0CAA"/>
    <w:rsid w:val="00FD1CC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8310-7811-41DE-9BC8-BB522412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7386"/>
    <w:pPr>
      <w:ind w:left="720"/>
    </w:pPr>
  </w:style>
  <w:style w:type="character" w:customStyle="1" w:styleId="a5">
    <w:name w:val="Абзац списка Знак"/>
    <w:link w:val="a4"/>
    <w:uiPriority w:val="34"/>
    <w:locked/>
    <w:rsid w:val="006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D04C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D0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D04C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355E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5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355E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744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744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744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44BF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4957F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568E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A56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harStyle15">
    <w:name w:val="Char Style 15"/>
    <w:link w:val="Style14"/>
    <w:locked/>
    <w:rsid w:val="00A568EC"/>
    <w:rPr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rsid w:val="00A568EC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locked/>
    <w:rsid w:val="00A568EC"/>
    <w:rPr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rsid w:val="00A568EC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17">
    <w:name w:val="Char Style 17"/>
    <w:basedOn w:val="a0"/>
    <w:rsid w:val="00A568EC"/>
    <w:rPr>
      <w:rFonts w:ascii="Times New Roman" w:hAnsi="Times New Roman" w:cs="Times New Roman" w:hint="default"/>
      <w:color w:val="999999"/>
      <w:spacing w:val="0"/>
      <w:position w:val="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273A95FB9A6BCEEB04A6AE63B3F942B14B2584CB2DB0C26309029DB4D5A74369BE541D9EEA642G7v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176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273A95FB9A6BCEEB04A6AE63B3F942B14B2584CB2DB0C26309029DB4D5A74369BE541D9EEA642G7v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9015D-0B37-4146-9D1A-20B03CD5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Брыскина Любовь Николаевна</dc:creator>
  <cp:lastModifiedBy>Ушакова Мария Васильевна</cp:lastModifiedBy>
  <cp:revision>3</cp:revision>
  <cp:lastPrinted>2017-09-11T14:40:00Z</cp:lastPrinted>
  <dcterms:created xsi:type="dcterms:W3CDTF">2023-05-25T06:36:00Z</dcterms:created>
  <dcterms:modified xsi:type="dcterms:W3CDTF">2023-05-26T08:29:00Z</dcterms:modified>
</cp:coreProperties>
</file>