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4" w:rsidRPr="004B6914" w:rsidRDefault="006B7386" w:rsidP="006B7386">
      <w:pPr>
        <w:pStyle w:val="a5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4B6914">
        <w:rPr>
          <w:b/>
          <w:sz w:val="28"/>
          <w:szCs w:val="28"/>
        </w:rPr>
        <w:t xml:space="preserve">Информация Министерства труда и социальной защиты </w:t>
      </w:r>
    </w:p>
    <w:p w:rsidR="004B6914" w:rsidRPr="004B6914" w:rsidRDefault="006B7386" w:rsidP="006B7386">
      <w:pPr>
        <w:pStyle w:val="a5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Российской Федерации</w:t>
      </w:r>
      <w:r w:rsidR="004B6914" w:rsidRPr="004B6914">
        <w:rPr>
          <w:b/>
          <w:sz w:val="28"/>
          <w:szCs w:val="28"/>
        </w:rPr>
        <w:t xml:space="preserve"> о реализации отраслевых</w:t>
      </w:r>
    </w:p>
    <w:p w:rsidR="006B7386" w:rsidRPr="004B6914" w:rsidRDefault="004B6914" w:rsidP="006B7386">
      <w:pPr>
        <w:pStyle w:val="a5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 xml:space="preserve">документов стратегического планирования </w:t>
      </w:r>
    </w:p>
    <w:p w:rsidR="006B7386" w:rsidRDefault="006B7386" w:rsidP="006B7386">
      <w:pPr>
        <w:pStyle w:val="a5"/>
        <w:ind w:left="0"/>
        <w:jc w:val="center"/>
        <w:rPr>
          <w:sz w:val="28"/>
          <w:szCs w:val="28"/>
        </w:rPr>
      </w:pPr>
    </w:p>
    <w:p w:rsidR="00277384" w:rsidRPr="00675EF7" w:rsidRDefault="00277384" w:rsidP="006B7386">
      <w:pPr>
        <w:pStyle w:val="a5"/>
        <w:ind w:left="0"/>
        <w:jc w:val="center"/>
        <w:rPr>
          <w:b/>
          <w:sz w:val="28"/>
          <w:szCs w:val="28"/>
        </w:rPr>
      </w:pPr>
      <w:r w:rsidRPr="00675EF7">
        <w:rPr>
          <w:b/>
          <w:sz w:val="28"/>
          <w:szCs w:val="28"/>
          <w:lang w:val="en-US"/>
        </w:rPr>
        <w:t>I</w:t>
      </w:r>
      <w:r w:rsidRPr="00675EF7">
        <w:rPr>
          <w:b/>
          <w:sz w:val="28"/>
          <w:szCs w:val="28"/>
        </w:rPr>
        <w:t>. Стратегия действий в интересах граждан старшего поколения в Российской Федерации до 2025 года.</w:t>
      </w:r>
    </w:p>
    <w:p w:rsidR="00277384" w:rsidRDefault="00277384" w:rsidP="006B7386">
      <w:pPr>
        <w:pStyle w:val="a5"/>
        <w:ind w:left="0"/>
        <w:jc w:val="center"/>
        <w:rPr>
          <w:sz w:val="28"/>
          <w:szCs w:val="28"/>
        </w:rPr>
      </w:pPr>
    </w:p>
    <w:p w:rsidR="006B7386" w:rsidRPr="00E46D9B" w:rsidRDefault="006B7386" w:rsidP="006B7386">
      <w:pPr>
        <w:pStyle w:val="a5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1. 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540"/>
      </w:tblGrid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№ п/п</w:t>
            </w:r>
          </w:p>
        </w:tc>
        <w:tc>
          <w:tcPr>
            <w:tcW w:w="8822" w:type="dxa"/>
            <w:vAlign w:val="center"/>
          </w:tcPr>
          <w:p w:rsidR="006B7386" w:rsidRPr="00E46D9B" w:rsidRDefault="006B7386" w:rsidP="0081459E">
            <w:pPr>
              <w:jc w:val="center"/>
            </w:pPr>
            <w:r>
              <w:t>Содержание раздела</w:t>
            </w:r>
          </w:p>
        </w:tc>
      </w:tr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1.1</w:t>
            </w:r>
          </w:p>
        </w:tc>
        <w:tc>
          <w:tcPr>
            <w:tcW w:w="8822" w:type="dxa"/>
            <w:vAlign w:val="center"/>
          </w:tcPr>
          <w:p w:rsidR="00E90DAB" w:rsidRDefault="006B7386" w:rsidP="0081459E">
            <w:pPr>
              <w:jc w:val="center"/>
            </w:pPr>
            <w:r w:rsidRPr="00E46D9B">
              <w:t>Наименование отраслевого документа стратегического планирования:</w:t>
            </w:r>
          </w:p>
          <w:p w:rsidR="006B7386" w:rsidRPr="00E05DA6" w:rsidRDefault="00E90DAB" w:rsidP="0081459E">
            <w:pPr>
              <w:jc w:val="center"/>
              <w:rPr>
                <w:u w:val="single"/>
              </w:rPr>
            </w:pPr>
            <w:r w:rsidRPr="00E05DA6">
              <w:rPr>
                <w:u w:val="single"/>
              </w:rPr>
              <w:t>Стратегия действий в интересах граждан старшего поколения в Российской Федерации до 2025 года</w:t>
            </w:r>
            <w:r w:rsidR="006B7386" w:rsidRPr="00E05DA6">
              <w:rPr>
                <w:color w:val="FFFFFF" w:themeColor="background1"/>
                <w:u w:val="single"/>
              </w:rPr>
              <w:t>1</w:t>
            </w:r>
          </w:p>
          <w:p w:rsidR="006B7386" w:rsidRPr="00E46D9B" w:rsidRDefault="006B7386" w:rsidP="0081459E">
            <w:pPr>
              <w:jc w:val="center"/>
            </w:pPr>
            <w:r w:rsidRPr="00E46D9B">
              <w:t>(указывается наименование)</w:t>
            </w:r>
          </w:p>
        </w:tc>
      </w:tr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1.2</w:t>
            </w:r>
          </w:p>
        </w:tc>
        <w:tc>
          <w:tcPr>
            <w:tcW w:w="8822" w:type="dxa"/>
            <w:vAlign w:val="center"/>
          </w:tcPr>
          <w:p w:rsidR="006B7386" w:rsidRDefault="006B7386" w:rsidP="0081459E">
            <w:pPr>
              <w:jc w:val="center"/>
            </w:pPr>
            <w:r w:rsidRPr="00E46D9B">
              <w:t>Реквизиты акта, которым утвержден отраслевой документ стратегического планирования:</w:t>
            </w:r>
          </w:p>
          <w:p w:rsidR="006B7386" w:rsidRPr="00E46D9B" w:rsidRDefault="00E05DA6" w:rsidP="0081459E">
            <w:pPr>
              <w:jc w:val="center"/>
              <w:rPr>
                <w:color w:val="FFFFFF" w:themeColor="background1"/>
                <w:u w:val="single"/>
              </w:rPr>
            </w:pPr>
            <w:r w:rsidRPr="00E05DA6">
              <w:rPr>
                <w:u w:val="single"/>
              </w:rPr>
              <w:t xml:space="preserve">Распоряжение Правительства Российской Федерации от 5 февраля 2016 г. </w:t>
            </w:r>
            <w:r w:rsidR="001B3D2A">
              <w:rPr>
                <w:u w:val="single"/>
              </w:rPr>
              <w:t xml:space="preserve">                  </w:t>
            </w:r>
            <w:r w:rsidRPr="00E05DA6">
              <w:rPr>
                <w:u w:val="single"/>
              </w:rPr>
              <w:t>№ 164-р</w:t>
            </w:r>
          </w:p>
          <w:p w:rsidR="006B7386" w:rsidRPr="00E46D9B" w:rsidRDefault="006B7386" w:rsidP="0081459E">
            <w:pPr>
              <w:jc w:val="center"/>
            </w:pPr>
            <w:r w:rsidRPr="00E46D9B">
              <w:t>(указываются полное название, номер и дата акта)</w:t>
            </w:r>
          </w:p>
        </w:tc>
      </w:tr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1.3</w:t>
            </w:r>
          </w:p>
        </w:tc>
        <w:tc>
          <w:tcPr>
            <w:tcW w:w="8822" w:type="dxa"/>
            <w:vAlign w:val="center"/>
          </w:tcPr>
          <w:p w:rsidR="006B7386" w:rsidRDefault="006B7386" w:rsidP="0081459E">
            <w:pPr>
              <w:jc w:val="center"/>
            </w:pPr>
            <w:r w:rsidRPr="00E46D9B">
              <w:t>Федеральный орган исполнительной власти (далее – разработчик):</w:t>
            </w:r>
          </w:p>
          <w:p w:rsidR="00D10A81" w:rsidRPr="006B4EF1" w:rsidRDefault="00D10A81" w:rsidP="0081459E">
            <w:pPr>
              <w:jc w:val="center"/>
              <w:rPr>
                <w:u w:val="single"/>
              </w:rPr>
            </w:pPr>
            <w:r w:rsidRPr="006B4EF1">
              <w:rPr>
                <w:u w:val="single"/>
              </w:rPr>
              <w:t>Министерство труда и социальной защиты Российской Федерации</w:t>
            </w:r>
          </w:p>
          <w:p w:rsidR="00D10A81" w:rsidRPr="006B4EF1" w:rsidRDefault="004973D5" w:rsidP="00D10A81">
            <w:pPr>
              <w:jc w:val="center"/>
              <w:rPr>
                <w:color w:val="FFFFFF" w:themeColor="background1"/>
                <w:u w:val="single"/>
              </w:rPr>
            </w:pPr>
            <w:r>
              <w:rPr>
                <w:u w:val="single"/>
              </w:rPr>
              <w:t>(</w:t>
            </w:r>
            <w:r w:rsidR="00D10A81" w:rsidRPr="006B4EF1">
              <w:rPr>
                <w:u w:val="single"/>
              </w:rPr>
              <w:t>Минтруд России</w:t>
            </w:r>
            <w:r w:rsidR="00631E1C">
              <w:rPr>
                <w:u w:val="single"/>
              </w:rPr>
              <w:t>)</w:t>
            </w:r>
            <w:r w:rsidR="006B7386" w:rsidRPr="006B4EF1">
              <w:rPr>
                <w:color w:val="FFFFFF" w:themeColor="background1"/>
                <w:u w:val="single"/>
              </w:rPr>
              <w:t>1</w:t>
            </w:r>
            <w:r w:rsidR="00D10A81" w:rsidRPr="006B4EF1">
              <w:rPr>
                <w:color w:val="FFFFFF" w:themeColor="background1"/>
                <w:u w:val="single"/>
              </w:rPr>
              <w:t>М</w:t>
            </w:r>
          </w:p>
          <w:p w:rsidR="006B7386" w:rsidRPr="00E46D9B" w:rsidRDefault="006B7386" w:rsidP="00D10A81">
            <w:pPr>
              <w:jc w:val="center"/>
            </w:pPr>
            <w:r w:rsidRPr="00E46D9B">
              <w:t>(указывают</w:t>
            </w:r>
            <w:r>
              <w:t>ся полное и краткое наименования</w:t>
            </w:r>
            <w:r w:rsidRPr="00E46D9B">
              <w:t>)</w:t>
            </w:r>
          </w:p>
        </w:tc>
      </w:tr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1.4</w:t>
            </w:r>
          </w:p>
        </w:tc>
        <w:tc>
          <w:tcPr>
            <w:tcW w:w="8822" w:type="dxa"/>
            <w:vAlign w:val="center"/>
          </w:tcPr>
          <w:p w:rsidR="00CA03F6" w:rsidRDefault="006B7386" w:rsidP="00F00490">
            <w:pPr>
              <w:jc w:val="center"/>
            </w:pPr>
            <w:r w:rsidRPr="00E46D9B">
              <w:t>Федеральные органы исполнительной власти – соисполнители:</w:t>
            </w:r>
            <w:r w:rsidR="00CA03F6">
              <w:t xml:space="preserve"> </w:t>
            </w:r>
          </w:p>
          <w:p w:rsidR="00771535" w:rsidRDefault="00771535" w:rsidP="00F00490">
            <w:pPr>
              <w:jc w:val="center"/>
            </w:pPr>
            <w:r w:rsidRPr="00F90F5C">
              <w:rPr>
                <w:sz w:val="22"/>
                <w:szCs w:val="22"/>
              </w:rPr>
              <w:t>Министерство здравоохранения Российской Федерации</w:t>
            </w:r>
            <w:r w:rsidR="00942BAE">
              <w:rPr>
                <w:sz w:val="22"/>
                <w:szCs w:val="22"/>
              </w:rPr>
              <w:t xml:space="preserve"> </w:t>
            </w:r>
            <w:r w:rsidR="002F0B19">
              <w:rPr>
                <w:sz w:val="22"/>
                <w:szCs w:val="22"/>
              </w:rPr>
              <w:t>(Минздрав России),</w:t>
            </w:r>
          </w:p>
          <w:p w:rsidR="009D5B14" w:rsidRDefault="009D5B14" w:rsidP="00321EF7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образования и науки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="000C549A">
              <w:rPr>
                <w:sz w:val="22"/>
                <w:szCs w:val="22"/>
              </w:rPr>
              <w:t>(Минобрнауки России),</w:t>
            </w:r>
          </w:p>
          <w:p w:rsidR="00321EF7" w:rsidRDefault="00321EF7" w:rsidP="00321EF7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культуры</w:t>
            </w:r>
            <w:r>
              <w:rPr>
                <w:sz w:val="22"/>
                <w:szCs w:val="22"/>
              </w:rPr>
              <w:t xml:space="preserve"> </w:t>
            </w:r>
            <w:r w:rsidRPr="00F90F5C">
              <w:rPr>
                <w:sz w:val="22"/>
                <w:szCs w:val="22"/>
              </w:rPr>
              <w:t>Российской Федерации</w:t>
            </w:r>
            <w:r w:rsidR="009D5B14">
              <w:rPr>
                <w:sz w:val="22"/>
                <w:szCs w:val="22"/>
              </w:rPr>
              <w:t xml:space="preserve"> (Минкультуры России),</w:t>
            </w:r>
          </w:p>
          <w:p w:rsidR="00A86D2F" w:rsidRDefault="00A86D2F" w:rsidP="00A86D2F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экономического</w:t>
            </w:r>
            <w:r>
              <w:rPr>
                <w:sz w:val="22"/>
                <w:szCs w:val="22"/>
              </w:rPr>
              <w:t xml:space="preserve"> </w:t>
            </w:r>
            <w:r w:rsidRPr="00F90F5C">
              <w:rPr>
                <w:sz w:val="22"/>
                <w:szCs w:val="22"/>
              </w:rPr>
              <w:t>развития Российской Федерации</w:t>
            </w:r>
          </w:p>
          <w:p w:rsidR="00A86D2F" w:rsidRDefault="00A86D2F" w:rsidP="00A86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(Минэкономразвития России),</w:t>
            </w:r>
          </w:p>
          <w:p w:rsidR="000241A9" w:rsidRDefault="000241A9" w:rsidP="00F00490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sz w:val="22"/>
                <w:szCs w:val="22"/>
              </w:rPr>
              <w:t xml:space="preserve"> (МЧС России),</w:t>
            </w:r>
          </w:p>
          <w:p w:rsidR="0081459E" w:rsidRDefault="00CA03F6" w:rsidP="00F00490">
            <w:pPr>
              <w:jc w:val="center"/>
              <w:rPr>
                <w:color w:val="FFFFFF" w:themeColor="background1"/>
              </w:rPr>
            </w:pPr>
            <w:r w:rsidRPr="00F90F5C">
              <w:rPr>
                <w:sz w:val="22"/>
                <w:szCs w:val="22"/>
              </w:rPr>
              <w:t>Министерство внутренних дел Российской Федерации</w:t>
            </w:r>
            <w:r w:rsidR="00853358">
              <w:rPr>
                <w:sz w:val="22"/>
                <w:szCs w:val="22"/>
              </w:rPr>
              <w:t xml:space="preserve"> (МВД России),</w:t>
            </w:r>
            <w:r w:rsidR="0081459E">
              <w:rPr>
                <w:color w:val="FFFFFF" w:themeColor="background1"/>
              </w:rPr>
              <w:t xml:space="preserve"> ((</w:t>
            </w:r>
          </w:p>
          <w:p w:rsidR="0081459E" w:rsidRDefault="00853358" w:rsidP="00F00490">
            <w:pPr>
              <w:jc w:val="center"/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(</w:t>
            </w:r>
            <w:r w:rsidR="0081459E" w:rsidRPr="00F90F5C">
              <w:rPr>
                <w:sz w:val="22"/>
                <w:szCs w:val="22"/>
              </w:rPr>
              <w:t xml:space="preserve">Министерство промышленности и торговли Российской </w:t>
            </w:r>
            <w:r w:rsidR="0081459E">
              <w:rPr>
                <w:sz w:val="22"/>
                <w:szCs w:val="22"/>
              </w:rPr>
              <w:t>Ф</w:t>
            </w:r>
            <w:r w:rsidR="0081459E" w:rsidRPr="00F90F5C">
              <w:rPr>
                <w:sz w:val="22"/>
                <w:szCs w:val="22"/>
              </w:rPr>
              <w:t>едерации</w:t>
            </w:r>
            <w:r w:rsidR="0081459E">
              <w:rPr>
                <w:sz w:val="22"/>
                <w:szCs w:val="22"/>
              </w:rPr>
              <w:t xml:space="preserve"> </w:t>
            </w:r>
          </w:p>
          <w:p w:rsidR="00627BCB" w:rsidRDefault="0081459E" w:rsidP="00F00490">
            <w:pPr>
              <w:jc w:val="center"/>
              <w:rPr>
                <w:color w:val="FFFFFF" w:themeColor="background1"/>
              </w:rPr>
            </w:pPr>
            <w:r>
              <w:rPr>
                <w:sz w:val="22"/>
                <w:szCs w:val="22"/>
              </w:rPr>
              <w:t>(Минпромторг России),</w:t>
            </w:r>
            <w:r>
              <w:rPr>
                <w:color w:val="FFFFFF" w:themeColor="background1"/>
              </w:rPr>
              <w:t xml:space="preserve"> (</w:t>
            </w:r>
          </w:p>
          <w:p w:rsidR="00B674F6" w:rsidRDefault="00627BCB" w:rsidP="00F00490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связи и массовых коммуникаций Российской Федераци</w:t>
            </w:r>
            <w:r>
              <w:rPr>
                <w:sz w:val="22"/>
                <w:szCs w:val="22"/>
              </w:rPr>
              <w:t xml:space="preserve">и </w:t>
            </w:r>
          </w:p>
          <w:p w:rsidR="000D673B" w:rsidRDefault="00627BCB" w:rsidP="00F0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(Минкомсвяз</w:t>
            </w:r>
            <w:r w:rsidR="00B674F6">
              <w:rPr>
                <w:sz w:val="22"/>
                <w:szCs w:val="22"/>
              </w:rPr>
              <w:t>ь России</w:t>
            </w:r>
            <w:r w:rsidR="000D673B">
              <w:rPr>
                <w:sz w:val="22"/>
                <w:szCs w:val="22"/>
              </w:rPr>
              <w:t>),</w:t>
            </w:r>
          </w:p>
          <w:p w:rsidR="000D673B" w:rsidRDefault="00853358" w:rsidP="00F00490">
            <w:pPr>
              <w:jc w:val="center"/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(</w:t>
            </w:r>
            <w:r w:rsidR="007A1B12" w:rsidRPr="00F90F5C">
              <w:rPr>
                <w:sz w:val="22"/>
                <w:szCs w:val="22"/>
              </w:rPr>
              <w:t>Министерство сельского хозяйства Российской Федераци</w:t>
            </w:r>
            <w:r w:rsidR="000D673B">
              <w:rPr>
                <w:sz w:val="22"/>
                <w:szCs w:val="22"/>
              </w:rPr>
              <w:t xml:space="preserve">и </w:t>
            </w:r>
          </w:p>
          <w:p w:rsidR="00AD7348" w:rsidRPr="001B3D2A" w:rsidRDefault="001B3D2A" w:rsidP="001B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(Минсельхоз России)</w:t>
            </w:r>
            <w:r w:rsidR="00853358">
              <w:rPr>
                <w:color w:val="FFFFFF" w:themeColor="background1"/>
              </w:rPr>
              <w:t>(</w:t>
            </w:r>
          </w:p>
          <w:p w:rsidR="00843748" w:rsidRDefault="00AD7348" w:rsidP="00AD7348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Министерство спорта</w:t>
            </w:r>
            <w:r>
              <w:rPr>
                <w:sz w:val="22"/>
                <w:szCs w:val="22"/>
              </w:rPr>
              <w:t xml:space="preserve"> </w:t>
            </w:r>
            <w:r w:rsidRPr="00F90F5C">
              <w:rPr>
                <w:sz w:val="22"/>
                <w:szCs w:val="22"/>
              </w:rPr>
              <w:t>Российской Федераци</w:t>
            </w:r>
            <w:r>
              <w:rPr>
                <w:sz w:val="22"/>
                <w:szCs w:val="22"/>
              </w:rPr>
              <w:t>и (Минспорт России),</w:t>
            </w:r>
          </w:p>
          <w:p w:rsidR="00BE2F13" w:rsidRDefault="00BE2F13" w:rsidP="00AD7348">
            <w:pPr>
              <w:jc w:val="center"/>
              <w:rPr>
                <w:sz w:val="22"/>
                <w:szCs w:val="22"/>
              </w:rPr>
            </w:pPr>
            <w:r w:rsidRPr="00F90F5C">
              <w:rPr>
                <w:sz w:val="22"/>
                <w:szCs w:val="22"/>
              </w:rPr>
              <w:t>Федеральное агентство по туризму</w:t>
            </w:r>
            <w:r>
              <w:rPr>
                <w:sz w:val="22"/>
                <w:szCs w:val="22"/>
              </w:rPr>
              <w:t xml:space="preserve"> (Ростуризм),</w:t>
            </w:r>
          </w:p>
          <w:p w:rsidR="002F0B19" w:rsidRDefault="00853358" w:rsidP="00843748">
            <w:pPr>
              <w:jc w:val="center"/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(</w:t>
            </w:r>
            <w:r w:rsidR="00843748" w:rsidRPr="00F90F5C">
              <w:rPr>
                <w:sz w:val="22"/>
                <w:szCs w:val="22"/>
              </w:rPr>
              <w:t>Министерство транспорта</w:t>
            </w:r>
            <w:r w:rsidR="00843748">
              <w:rPr>
                <w:sz w:val="22"/>
                <w:szCs w:val="22"/>
              </w:rPr>
              <w:t xml:space="preserve"> </w:t>
            </w:r>
            <w:r w:rsidR="00843748" w:rsidRPr="00F90F5C">
              <w:rPr>
                <w:sz w:val="22"/>
                <w:szCs w:val="22"/>
              </w:rPr>
              <w:t>Российской Федераци</w:t>
            </w:r>
            <w:r w:rsidR="00843748">
              <w:rPr>
                <w:sz w:val="22"/>
                <w:szCs w:val="22"/>
              </w:rPr>
              <w:t>и (Минтранс России),</w:t>
            </w:r>
          </w:p>
          <w:p w:rsidR="003F4A82" w:rsidRDefault="00853358" w:rsidP="00843748">
            <w:pPr>
              <w:jc w:val="center"/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(</w:t>
            </w:r>
            <w:r w:rsidR="002F0B19" w:rsidRPr="00F90F5C"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человек</w:t>
            </w:r>
            <w:r w:rsidR="002F0B19">
              <w:rPr>
                <w:sz w:val="22"/>
                <w:szCs w:val="22"/>
              </w:rPr>
              <w:t>а (Роспотребнадзор),</w:t>
            </w:r>
          </w:p>
          <w:p w:rsidR="00F00490" w:rsidRDefault="002F0B19" w:rsidP="0084374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3F4A82">
              <w:rPr>
                <w:sz w:val="22"/>
                <w:szCs w:val="22"/>
              </w:rPr>
              <w:t>Министерство</w:t>
            </w:r>
            <w:r w:rsidR="003F4A82" w:rsidRPr="00F90F5C">
              <w:rPr>
                <w:sz w:val="22"/>
                <w:szCs w:val="22"/>
              </w:rPr>
              <w:t xml:space="preserve"> строительств</w:t>
            </w:r>
            <w:r w:rsidR="003F4A82">
              <w:rPr>
                <w:sz w:val="22"/>
                <w:szCs w:val="22"/>
              </w:rPr>
              <w:t>а</w:t>
            </w:r>
            <w:r w:rsidR="003F4A82" w:rsidRPr="00F90F5C">
              <w:rPr>
                <w:sz w:val="22"/>
                <w:szCs w:val="22"/>
              </w:rPr>
              <w:t xml:space="preserve"> и жилищно-коммунально</w:t>
            </w:r>
            <w:r w:rsidR="003F4A82">
              <w:rPr>
                <w:sz w:val="22"/>
                <w:szCs w:val="22"/>
              </w:rPr>
              <w:t>го</w:t>
            </w:r>
            <w:r w:rsidR="003F4A82" w:rsidRPr="00F90F5C">
              <w:rPr>
                <w:sz w:val="22"/>
                <w:szCs w:val="22"/>
              </w:rPr>
              <w:t xml:space="preserve"> хозяйств</w:t>
            </w:r>
            <w:r w:rsidR="003F4A82">
              <w:rPr>
                <w:sz w:val="22"/>
                <w:szCs w:val="22"/>
              </w:rPr>
              <w:t>а Российской Федерации (Минстрой России)</w:t>
            </w:r>
            <w:r w:rsidR="00853358">
              <w:rPr>
                <w:color w:val="FFFFFF" w:themeColor="background1"/>
              </w:rPr>
              <w:t>((((((</w:t>
            </w:r>
          </w:p>
          <w:p w:rsidR="006B7386" w:rsidRPr="00E46D9B" w:rsidRDefault="006B7386" w:rsidP="00F00490">
            <w:pPr>
              <w:jc w:val="center"/>
            </w:pPr>
            <w:r w:rsidRPr="00E46D9B">
              <w:t>(указываются полное и краткое наименования)</w:t>
            </w:r>
          </w:p>
        </w:tc>
      </w:tr>
      <w:tr w:rsidR="006B7386" w:rsidRPr="00E46D9B" w:rsidTr="0081459E">
        <w:trPr>
          <w:jc w:val="center"/>
        </w:trPr>
        <w:tc>
          <w:tcPr>
            <w:tcW w:w="817" w:type="dxa"/>
            <w:vAlign w:val="center"/>
          </w:tcPr>
          <w:p w:rsidR="006B7386" w:rsidRPr="00E46D9B" w:rsidRDefault="006B7386" w:rsidP="0081459E">
            <w:pPr>
              <w:jc w:val="both"/>
            </w:pPr>
            <w:r w:rsidRPr="00E46D9B">
              <w:t>1.5</w:t>
            </w:r>
          </w:p>
        </w:tc>
        <w:tc>
          <w:tcPr>
            <w:tcW w:w="8822" w:type="dxa"/>
            <w:vAlign w:val="center"/>
          </w:tcPr>
          <w:p w:rsidR="006B7386" w:rsidRPr="00857C4E" w:rsidRDefault="006B7386" w:rsidP="00857C4E">
            <w:pPr>
              <w:jc w:val="center"/>
              <w:rPr>
                <w:u w:val="single"/>
              </w:rPr>
            </w:pPr>
            <w:r>
              <w:t>Отчетный г</w:t>
            </w:r>
            <w:r w:rsidRPr="00E46D9B">
              <w:t>од, за который представляется доклад о реализации отраслевого документа стратегического планирования:</w:t>
            </w:r>
            <w:r>
              <w:t xml:space="preserve"> </w:t>
            </w:r>
            <w:r w:rsidR="00857C4E">
              <w:rPr>
                <w:u w:val="single"/>
              </w:rPr>
              <w:t>2019</w:t>
            </w:r>
            <w:r w:rsidRPr="00777028">
              <w:rPr>
                <w:color w:val="FFFFFF" w:themeColor="background1"/>
                <w:u w:val="single"/>
              </w:rPr>
              <w:t>1</w:t>
            </w:r>
            <w:r w:rsidR="00777028">
              <w:rPr>
                <w:color w:val="FFFFFF" w:themeColor="background1"/>
              </w:rPr>
              <w:t>20162016</w:t>
            </w:r>
          </w:p>
        </w:tc>
      </w:tr>
    </w:tbl>
    <w:p w:rsidR="0081459E" w:rsidRDefault="0081459E"/>
    <w:p w:rsidR="00966CB6" w:rsidRDefault="00966CB6" w:rsidP="00966CB6">
      <w:pPr>
        <w:pStyle w:val="a5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2. Аналитическая справка о реализации отраслевого докумен</w:t>
      </w:r>
      <w:r>
        <w:rPr>
          <w:sz w:val="28"/>
          <w:szCs w:val="28"/>
        </w:rPr>
        <w:t>та стратегического планирования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8406"/>
      </w:tblGrid>
      <w:tr w:rsidR="00966CB6" w:rsidRPr="00E46D9B" w:rsidTr="00E936B5">
        <w:tc>
          <w:tcPr>
            <w:tcW w:w="831" w:type="dxa"/>
            <w:vAlign w:val="center"/>
          </w:tcPr>
          <w:p w:rsidR="00966CB6" w:rsidRPr="00E46D9B" w:rsidRDefault="00966CB6" w:rsidP="00966CB6">
            <w:pPr>
              <w:jc w:val="both"/>
            </w:pPr>
            <w:r w:rsidRPr="00E46D9B">
              <w:t>№ п/п</w:t>
            </w:r>
          </w:p>
        </w:tc>
        <w:tc>
          <w:tcPr>
            <w:tcW w:w="8406" w:type="dxa"/>
            <w:vAlign w:val="center"/>
          </w:tcPr>
          <w:p w:rsidR="00966CB6" w:rsidRPr="00E46D9B" w:rsidRDefault="00966CB6" w:rsidP="00966CB6">
            <w:pPr>
              <w:jc w:val="center"/>
            </w:pPr>
            <w:r>
              <w:t>Содержание раздела</w:t>
            </w:r>
          </w:p>
        </w:tc>
      </w:tr>
      <w:tr w:rsidR="00966CB6" w:rsidRPr="00E46D9B" w:rsidTr="00E936B5">
        <w:tc>
          <w:tcPr>
            <w:tcW w:w="831" w:type="dxa"/>
          </w:tcPr>
          <w:p w:rsidR="00966CB6" w:rsidRPr="00E46D9B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2.1</w:t>
            </w:r>
          </w:p>
        </w:tc>
        <w:tc>
          <w:tcPr>
            <w:tcW w:w="8406" w:type="dxa"/>
            <w:vAlign w:val="center"/>
          </w:tcPr>
          <w:p w:rsidR="00966CB6" w:rsidRDefault="00966CB6" w:rsidP="00966CB6">
            <w:pPr>
              <w:jc w:val="center"/>
            </w:pPr>
            <w:r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:rsidR="004454D9" w:rsidRDefault="004454D9" w:rsidP="00966CB6">
            <w:pPr>
              <w:jc w:val="center"/>
            </w:pPr>
          </w:p>
          <w:p w:rsidR="001B3D2A" w:rsidRDefault="00596146" w:rsidP="00E936B5">
            <w:pPr>
              <w:jc w:val="center"/>
              <w:rPr>
                <w:u w:val="single"/>
              </w:rPr>
            </w:pPr>
            <w:r w:rsidRPr="0014207A">
              <w:rPr>
                <w:u w:val="single"/>
              </w:rPr>
              <w:t>Стратегия ре</w:t>
            </w:r>
            <w:r w:rsidR="00BB2197" w:rsidRPr="0014207A">
              <w:rPr>
                <w:u w:val="single"/>
              </w:rPr>
              <w:t xml:space="preserve">ализуется в </w:t>
            </w:r>
            <w:r w:rsidR="0014207A" w:rsidRPr="0014207A">
              <w:rPr>
                <w:u w:val="single"/>
              </w:rPr>
              <w:t>два</w:t>
            </w:r>
            <w:r w:rsidR="00BB2197" w:rsidRPr="0014207A">
              <w:rPr>
                <w:u w:val="single"/>
              </w:rPr>
              <w:t xml:space="preserve"> этапа. </w:t>
            </w:r>
          </w:p>
          <w:p w:rsidR="001B3D2A" w:rsidRDefault="001B3D2A" w:rsidP="00E936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Первый этап ее реализации в период 2016 до 2020 года.</w:t>
            </w:r>
          </w:p>
          <w:p w:rsidR="001B3D2A" w:rsidRDefault="00BB2197" w:rsidP="00E936B5">
            <w:pPr>
              <w:jc w:val="center"/>
              <w:rPr>
                <w:u w:val="single"/>
              </w:rPr>
            </w:pPr>
            <w:r w:rsidRPr="0014207A">
              <w:rPr>
                <w:u w:val="single"/>
              </w:rPr>
              <w:t>Фактическое значение показателей будет определено по окончании первого этапа в 2020 году.</w:t>
            </w:r>
            <w:r w:rsidR="00172BF8">
              <w:rPr>
                <w:u w:val="single"/>
              </w:rPr>
              <w:t xml:space="preserve"> </w:t>
            </w:r>
          </w:p>
          <w:p w:rsidR="002B5A82" w:rsidRPr="0014207A" w:rsidRDefault="00172BF8" w:rsidP="00E936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их помощью будет дана оценка результатам дос</w:t>
            </w:r>
            <w:r w:rsidR="00E936B5">
              <w:rPr>
                <w:u w:val="single"/>
              </w:rPr>
              <w:t>тижения целей и задач Стратегии</w:t>
            </w:r>
          </w:p>
          <w:p w:rsidR="00966CB6" w:rsidRPr="00E936B5" w:rsidRDefault="00966CB6" w:rsidP="00E936B5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color w:val="FFFFFF" w:themeColor="background1"/>
                <w:u w:val="single"/>
              </w:rPr>
              <w:t>1</w:t>
            </w:r>
            <w:r w:rsidRPr="00E46D9B">
              <w:t>(</w:t>
            </w:r>
            <w:r>
              <w:t>представляются описания изменений показателей</w:t>
            </w:r>
            <w:r w:rsidRPr="00E46D9B">
              <w:t>)</w:t>
            </w:r>
          </w:p>
        </w:tc>
      </w:tr>
      <w:tr w:rsidR="00966CB6" w:rsidRPr="00E46D9B" w:rsidTr="00E936B5">
        <w:tc>
          <w:tcPr>
            <w:tcW w:w="831" w:type="dxa"/>
          </w:tcPr>
          <w:p w:rsidR="00966CB6" w:rsidRPr="00E46D9B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</w:t>
            </w:r>
            <w:r>
              <w:t>2</w:t>
            </w:r>
          </w:p>
        </w:tc>
        <w:tc>
          <w:tcPr>
            <w:tcW w:w="8406" w:type="dxa"/>
          </w:tcPr>
          <w:p w:rsidR="003B1C37" w:rsidRPr="00E46D9B" w:rsidRDefault="00966CB6" w:rsidP="00E936B5">
            <w:pPr>
              <w:jc w:val="center"/>
            </w:pPr>
            <w:r w:rsidRPr="00E46D9B">
              <w:t>Оценка эффективности действующих мер</w:t>
            </w:r>
            <w:r>
              <w:t xml:space="preserve"> государственного регулирования</w:t>
            </w:r>
            <w:r>
              <w:br/>
            </w:r>
            <w:r w:rsidRPr="00E46D9B">
              <w:t>в описываемой сфере или отрасли экономики</w:t>
            </w:r>
            <w:r>
              <w:rPr>
                <w:vertAlign w:val="superscript"/>
              </w:rPr>
              <w:t>1</w:t>
            </w:r>
            <w:r w:rsidRPr="00E46D9B">
              <w:t>:</w:t>
            </w:r>
          </w:p>
          <w:p w:rsidR="003B1C37" w:rsidRPr="00E936B5" w:rsidRDefault="003B1C37" w:rsidP="003B1C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u w:val="single"/>
                <w:lang w:eastAsia="en-US"/>
              </w:rPr>
            </w:pPr>
            <w:r w:rsidRPr="00E936B5">
              <w:rPr>
                <w:rFonts w:eastAsiaTheme="minorHAnsi"/>
                <w:u w:val="single"/>
                <w:lang w:eastAsia="en-US"/>
              </w:rPr>
              <w:t>Улучшение качества жизни граждан старшего поколения в зависимости от их индивидуальной нуждаемости и потребностей, обеспечение более эффективно</w:t>
            </w:r>
            <w:r w:rsidR="004454D9" w:rsidRPr="00E936B5">
              <w:rPr>
                <w:rFonts w:eastAsiaTheme="minorHAnsi"/>
                <w:u w:val="single"/>
                <w:lang w:eastAsia="en-US"/>
              </w:rPr>
              <w:t>го</w:t>
            </w:r>
            <w:r w:rsidRPr="00E936B5">
              <w:rPr>
                <w:rFonts w:eastAsiaTheme="minorHAnsi"/>
                <w:u w:val="single"/>
                <w:lang w:eastAsia="en-US"/>
              </w:rPr>
              <w:t xml:space="preserve"> использовани</w:t>
            </w:r>
            <w:r w:rsidR="004454D9" w:rsidRPr="00E936B5">
              <w:rPr>
                <w:rFonts w:eastAsiaTheme="minorHAnsi"/>
                <w:u w:val="single"/>
                <w:lang w:eastAsia="en-US"/>
              </w:rPr>
              <w:t>я</w:t>
            </w:r>
            <w:r w:rsidRPr="00E936B5">
              <w:rPr>
                <w:rFonts w:eastAsiaTheme="minorHAnsi"/>
                <w:u w:val="single"/>
                <w:lang w:eastAsia="en-US"/>
              </w:rPr>
              <w:t xml:space="preserve"> их потенц</w:t>
            </w:r>
            <w:r w:rsidR="00E936B5">
              <w:rPr>
                <w:rFonts w:eastAsiaTheme="minorHAnsi"/>
                <w:u w:val="single"/>
                <w:lang w:eastAsia="en-US"/>
              </w:rPr>
              <w:t>иала и участие в жизни общества</w:t>
            </w:r>
          </w:p>
          <w:p w:rsidR="00966CB6" w:rsidRPr="00E46D9B" w:rsidRDefault="00966CB6" w:rsidP="00966CB6">
            <w:pPr>
              <w:jc w:val="center"/>
            </w:pPr>
            <w:r w:rsidRPr="00E46D9B">
              <w:t>(указывается перечень мер с характеристикой их влияния)</w:t>
            </w:r>
          </w:p>
        </w:tc>
      </w:tr>
      <w:tr w:rsidR="00966CB6" w:rsidRPr="00E46D9B" w:rsidTr="00E936B5">
        <w:tc>
          <w:tcPr>
            <w:tcW w:w="831" w:type="dxa"/>
          </w:tcPr>
          <w:p w:rsidR="00966CB6" w:rsidRPr="00A53A64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53A64">
              <w:t>2.3</w:t>
            </w:r>
          </w:p>
        </w:tc>
        <w:tc>
          <w:tcPr>
            <w:tcW w:w="8406" w:type="dxa"/>
            <w:vAlign w:val="center"/>
          </w:tcPr>
          <w:p w:rsidR="004454D9" w:rsidRDefault="00966CB6" w:rsidP="00E936B5">
            <w:pPr>
              <w:jc w:val="center"/>
            </w:pPr>
            <w:r w:rsidRPr="00A53A64"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4959E6" w:rsidRPr="00E936B5" w:rsidRDefault="00E936B5" w:rsidP="00E936B5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E936B5">
              <w:rPr>
                <w:u w:val="single"/>
              </w:rPr>
              <w:t>1.</w:t>
            </w:r>
            <w:r w:rsidR="00AA535C" w:rsidRPr="00E936B5">
              <w:rPr>
                <w:u w:val="single"/>
              </w:rPr>
              <w:t>В части совершенствования системы охраны здоровья граждан старшего поколения, развития гериатрической службы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Фактический уровень госпитализации на геронтологические койки лиц старше 60 лет на 10 тыс. населения соответствующего возраста по итогам 2019 года составил 33,3 (149% от годового плана).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целом по Российской Федерации по итогам 2019 года создано </w:t>
            </w:r>
            <w:r w:rsidRPr="000E7934">
              <w:br/>
              <w:t xml:space="preserve">44 гериатрических центра, в том числе 7 гериатрических центров </w:t>
            </w:r>
            <w:r w:rsidRPr="000E7934">
              <w:br/>
              <w:t>в 7 пилотных регионах.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Гериатрической помощью в 2019 году охвачено более 109,3 тыс. граждан старшего возраста, в том числе 21,1 тыс. граждан старше трудоспособного возраста из 11 тыс. запланированных в 7 пилотных регионах.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Охват граждан старше трудоспособного возраста профилактическими осмотрами, включая диспансеризацию, по итогам 2019 года составил 34,2% (149% от годового плана).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по итогам 2019 года составила 58,9% (104% от годового плана).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Вакцинацию против пневмококковой инфекции по итогам 2019 года прошли 99,3% (105% от годового плана) лиц старше трудоспособного возраста из групп риска, проживающих в организациях социального обслуживания.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7 пилотных регионах апробирован комплекс мер, направленный </w:t>
            </w:r>
            <w:r w:rsidRPr="000E7934">
              <w:br/>
              <w:t>на профилактику и раннее выявление когнитивных нарушений, профилактику падений и переломов у лиц пожилого и старческого возраста.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По итогам 2019 года диспансеризацию прошли 16,7 тыс. инвалидов Великой Отечественной войны (100% от подлежащих диспансеризации), </w:t>
            </w:r>
            <w:r w:rsidRPr="000E7934">
              <w:br/>
              <w:t xml:space="preserve">55,5 тыс. лиц, награжденных знаком «Жителю блокадного Ленинграда» </w:t>
            </w:r>
            <w:r w:rsidRPr="000E7934">
              <w:br/>
              <w:t xml:space="preserve">(69% от подлежащих диспансеризации) и 69 тыс. бывших несовершеннолетних узников концлагерей, гетто, других мест принудительного содержания, </w:t>
            </w:r>
            <w:r w:rsidRPr="000E7934">
              <w:lastRenderedPageBreak/>
              <w:t>созданных фашистами и их союзниками в период Второй мировой войны (94% от подлежащих диспансеризации).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Из числа вышеуказанных граждан прошли диспансеризацию </w:t>
            </w:r>
            <w:r w:rsidRPr="000E7934">
              <w:br/>
              <w:t xml:space="preserve">в домашних условиях 11,3 тыс. инвалидов Великой Отечественной войны, </w:t>
            </w:r>
            <w:r w:rsidRPr="000E7934">
              <w:br/>
              <w:t xml:space="preserve">18,7 тыс. лиц, награжденных знаком «Жителю блокадного Ленинграда», </w:t>
            </w:r>
            <w:r w:rsidRPr="000E7934">
              <w:br/>
              <w:t>21,9 тыс. бывших несовершеннолетних узника концлагерей, гетто, других мест принудительного содержания, созданных фашистами и их союзниками в период Второй мировой войны.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Медицинская помощь оказана 18,3 тыс. инвалидам Великой Отечественной войны, из них на дому – 14,8 тыс. инвалидам. Число лиц, награжденных знаком «Жителю блокадного Ленинграда», которым оказана медицинская помощь, составило 41,6 тыс. человек, в том числе на дому – </w:t>
            </w:r>
            <w:r w:rsidRPr="000E7934">
              <w:br/>
              <w:t xml:space="preserve">19,9 тыс. человек. Число бывших несовершеннолетних узников концлагерей, гетто, других мест принудительного содержания, созданных фашистами </w:t>
            </w:r>
            <w:r w:rsidRPr="000E7934">
              <w:br/>
              <w:t>и их союзниками в период Второй мировой войны, которым оказана медицинская помощь, составило 55,4 тыс. человек, в том числе на дому – 24,8 тыс. человек.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2019 году высокотехнологичная медицинская помощь, </w:t>
            </w:r>
            <w:r w:rsidRPr="000E7934">
              <w:br/>
              <w:t xml:space="preserve">не включенная в базовую программу обязательного медицинского страхования (далее – ВМП), была оказана 221,7 тыс. пациентам старше </w:t>
            </w:r>
            <w:r w:rsidRPr="000E7934">
              <w:br/>
              <w:t xml:space="preserve">56 лет, из них 214,1 тыс. человек – пациенты в возрасте от 56 до 80 лет, </w:t>
            </w:r>
            <w:r w:rsidRPr="000E7934">
              <w:br/>
              <w:t>7,6 тыс. человек – пациенты старше 80 лет.</w:t>
            </w:r>
          </w:p>
          <w:p w:rsidR="00AA535C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Доля пациентов старше 56 лет, проживающих в сельской местности, которым в 2019 году была оказана ВМП, составила 30% от общего числа пациентов (67,2 тыс. пациентов).</w:t>
            </w:r>
          </w:p>
          <w:p w:rsidR="000E7934" w:rsidRDefault="000E7934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«В</w:t>
            </w:r>
            <w:r w:rsidRPr="00A53A64">
              <w:t>ыполнено</w:t>
            </w:r>
            <w:r>
              <w:t>»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  <w:r w:rsidRPr="000E7934">
              <w:rPr>
                <w:u w:val="single"/>
              </w:rPr>
              <w:t xml:space="preserve">2. </w:t>
            </w:r>
            <w:bookmarkStart w:id="1" w:name="_Toc274302073"/>
            <w:r w:rsidRPr="000E7934">
              <w:rPr>
                <w:u w:val="single"/>
              </w:rPr>
              <w:t xml:space="preserve">В части </w:t>
            </w:r>
            <w:bookmarkEnd w:id="1"/>
            <w:r w:rsidRPr="000E7934">
              <w:rPr>
                <w:u w:val="single"/>
              </w:rPr>
              <w:t>развития современных форм социального обслуживания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течение 2019 года 4 тыс. организациями социального обслуживания различного профиля для граждан пожилого возраста и инвалидов оказано свыше 420 млн. услуг более чем 7 млн. нуждающимся в социальной защите гражданам. 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1933 организации социального обслуживания предоставили более 193 млн. социальных услуг в нестационарных и полустационарных формах в 2019 году свыше 5,5 млн. человек.</w:t>
            </w:r>
          </w:p>
          <w:p w:rsidR="00AA535C" w:rsidRPr="000E7934" w:rsidRDefault="00AA535C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В 2019 году функционировало 1249 стационарных организаций социального обслуживания на 260,5 тыс. мест, где проживали 278,9 тыс. человек.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В целях обеспечения безопасных и комфортных условий предоставления социальных услуг в форме социального обслуживания, сокращения очередности в стационарные организации социального обслуживания, в 2019  году ведено в эксплуатацию 834 койко-мест в организациях социального обслуживания.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802 организациями, осуществляющими социальное обслуживание в форме социального обслуживания на дому, оказаны услуги 1,2 млн. граждан.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В 2019 году в 12 субъектах Российской Федерации реализовался пилотный проект по созданию системы долговременного ухода за гражданами пожилого возраста и инвалидами, целью которого является создание условий по продлению самостоятельности пожилого человека и нахождению его в условиях дома.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2019 году более 100 организаций, включая организации в сфере социального обслуживания населения и здравоохранения, участвовали </w:t>
            </w:r>
            <w:r w:rsidRPr="000E7934">
              <w:br/>
              <w:t xml:space="preserve">в пилотном проекте по созданию системы долговременного ухода </w:t>
            </w:r>
            <w:r w:rsidRPr="000E7934">
              <w:br/>
            </w:r>
            <w:r w:rsidRPr="000E7934">
              <w:lastRenderedPageBreak/>
              <w:t xml:space="preserve">в субъектах Российской Федерации. За отчетный период обучено более </w:t>
            </w:r>
            <w:r w:rsidRPr="000E7934">
              <w:br/>
              <w:t>6 тыс. специалистов, задействованных в системе долговременного ухода.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Запланированные в 2019 году 8% лиц старше трудоспособного возраста, признанных нуждающимися в социальном обслуживании, в 12 пилотных регионах охвачены системой долговременного ухода.</w:t>
            </w:r>
          </w:p>
          <w:p w:rsidR="004959E6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целях доставки лиц старше 65 лет, проживающих в сельской местности, в медицинские организации для осуществления профилактических осмотров, включая диспансеризацию, в целях своевременного выявления отдельных социально значимых неинфекционных заболеваний (пневмония, хронические неинфекционные заболевания) и оказанию пожилым гражданам своевременной медицинской помощи приобретено 1580 единиц автотранспорта, создано 1 580 мобильных бригад. На профилактические осмотры, включая диспансеризацию, в медицинские организации доставлено более 115 тыс. граждан старше 65 лет, проживающих в сельской местности, что способствовало своевременному выявлению отдельных социально значимых неинфекционных заболеваний (пневмония, хронические неинфекционные заболевания) и оказанию им своевременной медицинской помощи. </w:t>
            </w:r>
          </w:p>
          <w:p w:rsidR="00E936B5" w:rsidRPr="000E7934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«Выполнено»</w:t>
            </w:r>
          </w:p>
          <w:p w:rsidR="00311CEE" w:rsidRPr="00E936B5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  <w:r w:rsidRPr="00E936B5">
              <w:rPr>
                <w:u w:val="single"/>
              </w:rPr>
              <w:t>3.</w:t>
            </w:r>
            <w:r w:rsidR="00311CEE" w:rsidRPr="00E936B5">
              <w:rPr>
                <w:u w:val="single"/>
              </w:rPr>
              <w:t xml:space="preserve">В части </w:t>
            </w:r>
            <w:r>
              <w:rPr>
                <w:u w:val="single"/>
              </w:rPr>
              <w:t xml:space="preserve">стимулирования </w:t>
            </w:r>
            <w:r w:rsidR="00311CEE" w:rsidRPr="00E936B5">
              <w:rPr>
                <w:u w:val="single"/>
              </w:rPr>
              <w:t>занятости</w:t>
            </w:r>
            <w:r w:rsidRPr="00E936B5">
              <w:rPr>
                <w:u w:val="single"/>
              </w:rPr>
              <w:t xml:space="preserve"> граждан старшего поколения</w:t>
            </w:r>
          </w:p>
          <w:p w:rsidR="00997D6B" w:rsidRP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997D6B">
              <w:t>По данным ПФР, по состоянию на 1 января 2020 года средний размер пенсии в целом по Российской Федерации составил 15 697,46 рублей.</w:t>
            </w:r>
          </w:p>
          <w:p w:rsidR="00997D6B" w:rsidRP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997D6B">
              <w:t>численность пожилых граждан - получателей социальной доплаты к пенсии увеличилась и составила более 3,9 млн. чел. (в 2018 – 3,5 млн. чел.), из них:</w:t>
            </w:r>
          </w:p>
          <w:p w:rsidR="00997D6B" w:rsidRP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997D6B">
              <w:t xml:space="preserve">1,5 млн. чел. (в 2018 – также 1,5 млн. чел.) – получатели федеральной социальной доплаты к пенсии, </w:t>
            </w:r>
          </w:p>
          <w:p w:rsidR="00997D6B" w:rsidRP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997D6B">
              <w:t>более 2,4 млн. чел. (в 2018 – 1,9 млн. чел.) – получатели региональной социальной доплаты к пенсии.</w:t>
            </w:r>
          </w:p>
          <w:p w:rsidR="00997D6B" w:rsidRP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997D6B">
              <w:t>При этом средний размер федеральной социальной доплаты к пенсии составил 1 167,74 рублей в месяц (в 2018 - 1 067,14 рублей), региональной социальной доплаты к пенсии – 4 562,81 рубля в месяц (в 2018 – 4 601,58 рубль).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Доля работающих пенсионеров в общей численности пенсионеров, состоящих на учете в системе ПФР, увеличилась и на 1 января 2020 года составила 19,6% (на 1 января 2019 года - 19,4%). После выхода на пенсию продолжает трудиться каждый пятый пенсионер.</w:t>
            </w:r>
          </w:p>
          <w:p w:rsidR="00311CEE" w:rsidRPr="000E7934" w:rsidRDefault="00311CEE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целом по Российской Федерации доля пенсионеров, обратившихся </w:t>
            </w:r>
            <w:r w:rsidRPr="000E7934">
              <w:br/>
              <w:t>за содействием в поиске подходящей работы в государственные учреждения службы занятости от общей численности, обратившихся граждан (далее – доля пенсионеров, обратившихся за содействием в поиске подходящей работы), по данным Роструда, составляет 3,45%.</w:t>
            </w:r>
          </w:p>
          <w:p w:rsidR="00311CEE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Удельный вес граждан, относящихся к категории пенсионеров, нашедших работу, из числа всех пенсионеров, обратившихся за содействием в поиске подходящей работы в государственные учреждения службы занятости, в целом по Российской Федерации составляет 60,22% </w:t>
            </w:r>
            <w:r w:rsidRPr="000E7934">
              <w:br/>
              <w:t>(в 2018 году – 52,2%) и варьируется от 2,78% (Чукотский автономный округ) до 85,99% (Красноярский край).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За отчетный период направлено на обучение при содействии органов службы занятости населения 116 325 человек, из которых на: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профессиональное обучение – 33 493 человека или 28,8% от общей численности граждан, направленных на обучение;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профессиональную переподготовку – 33 373 человека или 28,7%;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повышение квалификации – 49 455 человек или 42,5%.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lastRenderedPageBreak/>
              <w:t>По состоянию на 1 января 2020 года, завершили обучение 115 060 человек (230,1% от запланированного показателя), из которых 90 146 человек – работники организаций.</w:t>
            </w:r>
          </w:p>
          <w:p w:rsidR="00997D6B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Общая численность занятых после обучения составила 107 388 человек, в том числе 89 609 человек сохранили занятость, 17 779 человек трудоустроены при содействии органов службы занятости.</w:t>
            </w:r>
          </w:p>
          <w:p w:rsidR="00E936B5" w:rsidRPr="000E7934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«Выполнено»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4. </w:t>
            </w:r>
            <w:r w:rsidRPr="00E936B5">
              <w:rPr>
                <w:u w:val="single"/>
              </w:rPr>
              <w:t xml:space="preserve">В части обеспечения доступа граждан старшего поколения к информационным и образовательным ресурсам </w:t>
            </w:r>
          </w:p>
          <w:p w:rsidR="00997D6B" w:rsidRPr="000E7934" w:rsidRDefault="00997D6B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рамках реализации мероприятий по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в 36 субъектах Российской Федерации </w:t>
            </w:r>
            <w:r w:rsidRPr="000E7934">
              <w:br/>
              <w:t>в образовательных организациях высшего и профессионального образования функционируют «университеты пожилого человека» и реализуются специальные образовательные программы, направленные на освоение знаний, поиск механизмов, помогающих гражданам старшего поколения принять новые условия жизни, научиться гибко реагировать на изменения окружающей среды.</w:t>
            </w:r>
          </w:p>
          <w:p w:rsidR="004959E6" w:rsidRPr="000E7934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Обучение компьютерной грамотности с целью обеспечения их доступа к государственным информационным ресурсам прошли порядка 25 тыс. человек в 240 учебных заведениях в 55 субъектах Российской Федерации.</w:t>
            </w:r>
          </w:p>
          <w:p w:rsidR="004959E6" w:rsidRPr="000E7934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Показателем качественной работы по обучению компьютерной грамотности граждан пожилого возраста является тот факт, что граждане пожилого возраста ежегодно активно участвуют в региональных </w:t>
            </w:r>
            <w:r w:rsidRPr="000E7934">
              <w:br/>
              <w:t>и федеральных конкурсах и чемпионатах по компьютерному многоборью, проводимых в целях популяризации движения по овладению компьютерными технологиями среди граждан старшего поколения.</w:t>
            </w:r>
          </w:p>
          <w:p w:rsidR="00997D6B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В июне 2019 года в городе Кирове проведен 9-й Всероссийский чемпионат по компьютерному многоборью среди пенсионеров, в котором приняли участие более 150 пенсионеров - победителей региональных этапов из 73 субъектов Российской Федерации и соотечественники из 7-ми зарубежных стран: Армении, Беларуси, Германии, Дании, Италии, Литвы, Финляндии. В региональных турах чемпионата приняли участие свыше </w:t>
            </w:r>
            <w:r w:rsidRPr="000E7934">
              <w:br/>
              <w:t>11 тыс. пенсионеров.</w:t>
            </w:r>
          </w:p>
          <w:p w:rsidR="00E936B5" w:rsidRPr="000E7934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«Выполнено»</w:t>
            </w:r>
          </w:p>
          <w:p w:rsidR="00311CEE" w:rsidRPr="000E7934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Pr="00E936B5">
              <w:rPr>
                <w:u w:val="single"/>
              </w:rPr>
              <w:t xml:space="preserve">. </w:t>
            </w:r>
            <w:r w:rsidR="004959E6" w:rsidRPr="00E936B5">
              <w:rPr>
                <w:u w:val="single"/>
              </w:rPr>
              <w:t>В части обеспечения доступности физкультурно-спортивных услуг для граждан старшего поколения</w:t>
            </w:r>
          </w:p>
          <w:p w:rsidR="004959E6" w:rsidRPr="000E7934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В целях создания условий для систематических занятий граждан старшего поколения физической культурой и спортом в субъектах Российской Федерации осуществляется реконструкция и строительство современных спортивных сооружений, в том числе по мету жительства, подготовка профессиональных специалистов для организации физкультурно-массовой работы, проведение массовых спортивно-физкультурных мероприятий, реализация комплекса ГТО. Предусматриваются мероприятия по установлению льготных тарифов и льгот для занятий пожилыми людьми физической культурой на объектах спорта.</w:t>
            </w:r>
          </w:p>
          <w:p w:rsidR="004959E6" w:rsidRPr="000E7934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>За 2019 год значительно увеличилась посещаемость бассейнов и тренажерных залов физкультурно-спортивных комплексов лицами старшего поколения.</w:t>
            </w:r>
          </w:p>
          <w:p w:rsidR="004959E6" w:rsidRDefault="004959E6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 w:rsidRPr="000E7934">
              <w:t xml:space="preserve">Принимаемые меры по развитию физической культуры и спорта среди граждан старшего поколения позволили вовлечь в занятия физической </w:t>
            </w:r>
            <w:r w:rsidRPr="000E7934">
              <w:lastRenderedPageBreak/>
              <w:t xml:space="preserve">культурой и спортом более 3,8 млн. человек старшего возраста или 11,7% </w:t>
            </w:r>
            <w:r w:rsidRPr="000E7934">
              <w:br/>
              <w:t>от населения пенсионного возраста.</w:t>
            </w:r>
          </w:p>
          <w:p w:rsidR="00E936B5" w:rsidRPr="000E7934" w:rsidRDefault="00E936B5" w:rsidP="000E79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«Выполнено»</w:t>
            </w:r>
          </w:p>
          <w:p w:rsidR="00966CB6" w:rsidRPr="00A53A64" w:rsidRDefault="00966CB6" w:rsidP="004959E6">
            <w:pPr>
              <w:jc w:val="center"/>
            </w:pPr>
            <w:r w:rsidRPr="00A53A64">
              <w:t>(представляется перечень мероприятий с указанием достигнутых результатов</w:t>
            </w:r>
            <w:r w:rsidRPr="00A53A64">
              <w:br/>
              <w:t>«мероприятие выполнено/не выполнено/частично выполнено»)</w:t>
            </w:r>
          </w:p>
        </w:tc>
      </w:tr>
    </w:tbl>
    <w:p w:rsidR="00966CB6" w:rsidRDefault="00966CB6" w:rsidP="00966C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vertAlign w:val="superscript"/>
        </w:rPr>
      </w:pPr>
    </w:p>
    <w:p w:rsidR="00966CB6" w:rsidRPr="00E46D9B" w:rsidRDefault="00966CB6" w:rsidP="00966C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оценка достаточности и эффективности регулирующих соответствующую сферу</w:t>
      </w:r>
      <w:r>
        <w:rPr>
          <w:sz w:val="22"/>
          <w:szCs w:val="22"/>
        </w:rPr>
        <w:br/>
        <w:t xml:space="preserve">или отрасль экономики </w:t>
      </w:r>
      <w:r w:rsidRPr="00E46D9B">
        <w:rPr>
          <w:sz w:val="22"/>
          <w:szCs w:val="22"/>
        </w:rPr>
        <w:t>нормативны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правовы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акт</w:t>
      </w:r>
      <w:r>
        <w:rPr>
          <w:sz w:val="22"/>
          <w:szCs w:val="22"/>
        </w:rPr>
        <w:t>ов и международных соглашений.</w:t>
      </w:r>
      <w:r w:rsidRPr="00E46D9B">
        <w:rPr>
          <w:sz w:val="22"/>
          <w:szCs w:val="22"/>
        </w:rPr>
        <w:t xml:space="preserve"> </w:t>
      </w:r>
    </w:p>
    <w:p w:rsidR="00966CB6" w:rsidRPr="00E46D9B" w:rsidRDefault="00966CB6" w:rsidP="00966CB6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Pr="00E46D9B">
        <w:rPr>
          <w:sz w:val="22"/>
          <w:szCs w:val="22"/>
        </w:rPr>
        <w:t>мер, оказавших</w:t>
      </w:r>
      <w:r>
        <w:rPr>
          <w:sz w:val="22"/>
          <w:szCs w:val="22"/>
        </w:rPr>
        <w:t xml:space="preserve"> значимое</w:t>
      </w:r>
      <w:r w:rsidRPr="00E46D9B">
        <w:rPr>
          <w:sz w:val="22"/>
          <w:szCs w:val="22"/>
        </w:rPr>
        <w:t xml:space="preserve"> положительное влияние на сферу или отрасль экономики</w:t>
      </w:r>
      <w:r>
        <w:rPr>
          <w:sz w:val="22"/>
          <w:szCs w:val="22"/>
        </w:rPr>
        <w:t xml:space="preserve"> </w:t>
      </w:r>
      <w:r w:rsidRPr="00E46D9B">
        <w:rPr>
          <w:sz w:val="22"/>
          <w:szCs w:val="22"/>
        </w:rPr>
        <w:t>в целом</w:t>
      </w:r>
      <w:r>
        <w:rPr>
          <w:sz w:val="22"/>
          <w:szCs w:val="22"/>
        </w:rPr>
        <w:t xml:space="preserve">, приводится описание </w:t>
      </w:r>
      <w:r w:rsidRPr="00E46D9B">
        <w:rPr>
          <w:sz w:val="22"/>
          <w:szCs w:val="22"/>
        </w:rPr>
        <w:t>их влияния</w:t>
      </w:r>
      <w:r>
        <w:rPr>
          <w:sz w:val="22"/>
          <w:szCs w:val="22"/>
        </w:rPr>
        <w:t>.</w:t>
      </w:r>
    </w:p>
    <w:p w:rsidR="00966CB6" w:rsidRPr="00E46D9B" w:rsidRDefault="00966CB6" w:rsidP="00966CB6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46D9B">
        <w:rPr>
          <w:sz w:val="22"/>
          <w:szCs w:val="22"/>
        </w:rPr>
        <w:t xml:space="preserve">При </w:t>
      </w:r>
      <w:r>
        <w:rPr>
          <w:sz w:val="22"/>
          <w:szCs w:val="22"/>
        </w:rPr>
        <w:t>выявлении мер, оказавших значимое отрицательное влияние на сферу или отрасль экономики в целом, приводится</w:t>
      </w:r>
      <w:r w:rsidRPr="00E46D9B">
        <w:rPr>
          <w:sz w:val="22"/>
          <w:szCs w:val="22"/>
        </w:rPr>
        <w:t xml:space="preserve"> описани</w:t>
      </w:r>
      <w:r>
        <w:rPr>
          <w:sz w:val="22"/>
          <w:szCs w:val="22"/>
        </w:rPr>
        <w:t>е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этого</w:t>
      </w:r>
      <w:r w:rsidRPr="00E46D9B">
        <w:rPr>
          <w:sz w:val="22"/>
          <w:szCs w:val="22"/>
        </w:rPr>
        <w:t xml:space="preserve"> влияния</w:t>
      </w:r>
      <w:r>
        <w:rPr>
          <w:sz w:val="22"/>
          <w:szCs w:val="22"/>
        </w:rPr>
        <w:t>, при этом в пункте 3.2 настоящей формы указываются</w:t>
      </w:r>
      <w:r w:rsidRPr="00E46D9B">
        <w:rPr>
          <w:sz w:val="22"/>
          <w:szCs w:val="22"/>
        </w:rPr>
        <w:t xml:space="preserve"> предложения</w:t>
      </w:r>
      <w:r>
        <w:rPr>
          <w:sz w:val="22"/>
          <w:szCs w:val="22"/>
        </w:rPr>
        <w:t xml:space="preserve"> по его </w:t>
      </w:r>
      <w:r w:rsidRPr="00E46D9B">
        <w:rPr>
          <w:sz w:val="22"/>
          <w:szCs w:val="22"/>
        </w:rPr>
        <w:t>предотвращени</w:t>
      </w:r>
      <w:r>
        <w:rPr>
          <w:sz w:val="22"/>
          <w:szCs w:val="22"/>
        </w:rPr>
        <w:t>ю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E46D9B">
        <w:rPr>
          <w:sz w:val="22"/>
          <w:szCs w:val="22"/>
        </w:rPr>
        <w:t xml:space="preserve"> дальнейше</w:t>
      </w:r>
      <w:r>
        <w:rPr>
          <w:sz w:val="22"/>
          <w:szCs w:val="22"/>
        </w:rPr>
        <w:t xml:space="preserve">м. </w:t>
      </w:r>
    </w:p>
    <w:p w:rsidR="000C0683" w:rsidRDefault="000C0683"/>
    <w:p w:rsidR="006759B5" w:rsidRPr="00E936B5" w:rsidRDefault="006759B5" w:rsidP="006759B5">
      <w:pPr>
        <w:pStyle w:val="a5"/>
        <w:ind w:left="0"/>
        <w:jc w:val="center"/>
        <w:rPr>
          <w:sz w:val="28"/>
          <w:szCs w:val="28"/>
        </w:rPr>
      </w:pPr>
      <w:r w:rsidRPr="00B77AF9">
        <w:rPr>
          <w:sz w:val="28"/>
          <w:szCs w:val="28"/>
        </w:rPr>
        <w:t>3. </w:t>
      </w:r>
      <w:r w:rsidRPr="00921481">
        <w:rPr>
          <w:sz w:val="28"/>
          <w:szCs w:val="28"/>
        </w:rPr>
        <w:t xml:space="preserve">Анализ факторов, повлиявших на ход реализации отраслевого документа </w:t>
      </w:r>
      <w:r w:rsidRPr="00E936B5">
        <w:rPr>
          <w:sz w:val="28"/>
          <w:szCs w:val="28"/>
        </w:rPr>
        <w:t>стратегического планирования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8419"/>
      </w:tblGrid>
      <w:tr w:rsidR="00E936B5" w:rsidRPr="00E936B5" w:rsidTr="006759B5">
        <w:tc>
          <w:tcPr>
            <w:tcW w:w="851" w:type="dxa"/>
            <w:vAlign w:val="center"/>
          </w:tcPr>
          <w:p w:rsidR="006759B5" w:rsidRPr="00E936B5" w:rsidRDefault="006759B5" w:rsidP="006759B5">
            <w:pPr>
              <w:jc w:val="both"/>
            </w:pPr>
            <w:r w:rsidRPr="00E936B5">
              <w:t>№ п/п</w:t>
            </w:r>
          </w:p>
        </w:tc>
        <w:tc>
          <w:tcPr>
            <w:tcW w:w="8788" w:type="dxa"/>
            <w:vAlign w:val="center"/>
          </w:tcPr>
          <w:p w:rsidR="006759B5" w:rsidRPr="00E936B5" w:rsidRDefault="006759B5" w:rsidP="006759B5">
            <w:pPr>
              <w:jc w:val="center"/>
            </w:pPr>
            <w:r w:rsidRPr="00E936B5">
              <w:t>Содержание раздела</w:t>
            </w:r>
          </w:p>
        </w:tc>
      </w:tr>
      <w:tr w:rsidR="00E936B5" w:rsidRPr="00E936B5" w:rsidTr="006759B5">
        <w:tc>
          <w:tcPr>
            <w:tcW w:w="851" w:type="dxa"/>
          </w:tcPr>
          <w:p w:rsidR="006759B5" w:rsidRPr="00E936B5" w:rsidRDefault="006759B5" w:rsidP="006759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936B5">
              <w:t>3.1</w:t>
            </w:r>
          </w:p>
        </w:tc>
        <w:tc>
          <w:tcPr>
            <w:tcW w:w="8788" w:type="dxa"/>
            <w:vAlign w:val="center"/>
          </w:tcPr>
          <w:p w:rsidR="006759B5" w:rsidRPr="00E936B5" w:rsidRDefault="006759B5" w:rsidP="006759B5">
            <w:pPr>
              <w:jc w:val="center"/>
            </w:pPr>
            <w:r w:rsidRPr="00E936B5">
              <w:t>Факторы, повлекшие полное или частичное неисполнение мероприятий</w:t>
            </w:r>
            <w:r w:rsidRPr="00E936B5">
              <w:br/>
              <w:t>и (или) недостижение целевых показателей (при наличии):</w:t>
            </w:r>
          </w:p>
          <w:p w:rsidR="006759B5" w:rsidRPr="00E936B5" w:rsidRDefault="006759B5" w:rsidP="00921481">
            <w:pPr>
              <w:rPr>
                <w:u w:val="single"/>
              </w:rPr>
            </w:pPr>
            <w:r w:rsidRPr="00E936B5">
              <w:rPr>
                <w:u w:val="single"/>
              </w:rPr>
              <w:t xml:space="preserve">                                                         -                          </w:t>
            </w:r>
            <w:r w:rsidR="00921481">
              <w:rPr>
                <w:u w:val="single"/>
              </w:rPr>
              <w:t xml:space="preserve">                               </w:t>
            </w:r>
          </w:p>
          <w:p w:rsidR="006759B5" w:rsidRPr="00E936B5" w:rsidRDefault="006759B5" w:rsidP="006759B5">
            <w:pPr>
              <w:jc w:val="center"/>
            </w:pPr>
            <w:r w:rsidRPr="00E936B5">
              <w:t>(указывается перечень факторов)</w:t>
            </w:r>
          </w:p>
        </w:tc>
      </w:tr>
      <w:tr w:rsidR="004B7309" w:rsidRPr="00E936B5" w:rsidTr="006759B5">
        <w:tc>
          <w:tcPr>
            <w:tcW w:w="851" w:type="dxa"/>
          </w:tcPr>
          <w:p w:rsidR="006759B5" w:rsidRPr="00E936B5" w:rsidRDefault="006759B5" w:rsidP="006759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936B5">
              <w:t>3.2</w:t>
            </w:r>
          </w:p>
        </w:tc>
        <w:tc>
          <w:tcPr>
            <w:tcW w:w="8788" w:type="dxa"/>
            <w:vAlign w:val="center"/>
          </w:tcPr>
          <w:p w:rsidR="006759B5" w:rsidRPr="00E936B5" w:rsidRDefault="006759B5" w:rsidP="006759B5">
            <w:pPr>
              <w:jc w:val="center"/>
            </w:pPr>
            <w:r w:rsidRPr="00E936B5">
              <w:t>Предложения по совершенствованию мер государственного регулирования в рассматриваемой отрасли:</w:t>
            </w:r>
          </w:p>
          <w:p w:rsidR="006759B5" w:rsidRPr="00E936B5" w:rsidRDefault="006759B5" w:rsidP="00921481">
            <w:pPr>
              <w:rPr>
                <w:u w:val="single"/>
              </w:rPr>
            </w:pPr>
            <w:r w:rsidRPr="00E936B5">
              <w:rPr>
                <w:u w:val="single"/>
              </w:rPr>
              <w:t xml:space="preserve">                                                    </w:t>
            </w:r>
            <w:r w:rsidR="00921481">
              <w:rPr>
                <w:u w:val="single"/>
                <w:lang w:val="en-US"/>
              </w:rPr>
              <w:t>_________________</w:t>
            </w:r>
            <w:r w:rsidR="00921481">
              <w:rPr>
                <w:u w:val="single"/>
              </w:rPr>
              <w:t>_________________________</w:t>
            </w:r>
            <w:r w:rsidRPr="00E936B5">
              <w:rPr>
                <w:u w:val="single"/>
              </w:rPr>
              <w:t xml:space="preserve">                              </w:t>
            </w:r>
            <w:r w:rsidR="00921481">
              <w:rPr>
                <w:u w:val="single"/>
              </w:rPr>
              <w:t xml:space="preserve">                               </w:t>
            </w:r>
          </w:p>
          <w:p w:rsidR="006759B5" w:rsidRPr="00E936B5" w:rsidRDefault="006759B5" w:rsidP="006759B5">
            <w:pPr>
              <w:jc w:val="center"/>
            </w:pPr>
            <w:r w:rsidRPr="00E936B5">
              <w:t>(указывается перечень мероприятий)</w:t>
            </w:r>
          </w:p>
        </w:tc>
      </w:tr>
    </w:tbl>
    <w:p w:rsidR="006759B5" w:rsidRPr="00E936B5" w:rsidRDefault="006759B5"/>
    <w:p w:rsidR="007174AF" w:rsidRPr="00E936B5" w:rsidRDefault="007174AF" w:rsidP="004A7C04">
      <w:pPr>
        <w:pStyle w:val="a5"/>
        <w:ind w:left="0"/>
        <w:jc w:val="center"/>
        <w:rPr>
          <w:sz w:val="28"/>
          <w:szCs w:val="28"/>
        </w:rPr>
      </w:pPr>
    </w:p>
    <w:p w:rsidR="004A7C04" w:rsidRPr="00E936B5" w:rsidRDefault="004A7C04" w:rsidP="004A7C04">
      <w:pPr>
        <w:pStyle w:val="a5"/>
        <w:ind w:left="0"/>
        <w:jc w:val="center"/>
        <w:rPr>
          <w:sz w:val="28"/>
          <w:szCs w:val="28"/>
        </w:rPr>
      </w:pPr>
      <w:r w:rsidRPr="00E936B5">
        <w:rPr>
          <w:sz w:val="28"/>
          <w:szCs w:val="28"/>
        </w:rPr>
        <w:t>4. Предложения о необходимости корректировки отраслевого документа стратегического планирования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538"/>
      </w:tblGrid>
      <w:tr w:rsidR="00E936B5" w:rsidRPr="00E936B5" w:rsidTr="004A7C04">
        <w:tc>
          <w:tcPr>
            <w:tcW w:w="709" w:type="dxa"/>
            <w:vAlign w:val="center"/>
          </w:tcPr>
          <w:p w:rsidR="004A7C04" w:rsidRPr="00E936B5" w:rsidRDefault="004A7C04" w:rsidP="004A7C04">
            <w:pPr>
              <w:jc w:val="both"/>
            </w:pPr>
            <w:r w:rsidRPr="00E936B5">
              <w:t>№ п/п</w:t>
            </w:r>
          </w:p>
        </w:tc>
        <w:tc>
          <w:tcPr>
            <w:tcW w:w="8930" w:type="dxa"/>
            <w:vAlign w:val="center"/>
          </w:tcPr>
          <w:p w:rsidR="004A7C04" w:rsidRPr="00E936B5" w:rsidRDefault="004A7C04" w:rsidP="004A7C04">
            <w:pPr>
              <w:jc w:val="center"/>
            </w:pPr>
            <w:r w:rsidRPr="00E936B5">
              <w:t>Содержание раздела</w:t>
            </w:r>
          </w:p>
        </w:tc>
      </w:tr>
      <w:tr w:rsidR="00E936B5" w:rsidRPr="00E936B5" w:rsidTr="004A7C04">
        <w:tc>
          <w:tcPr>
            <w:tcW w:w="709" w:type="dxa"/>
          </w:tcPr>
          <w:p w:rsidR="004A7C04" w:rsidRPr="00E936B5" w:rsidRDefault="004A7C04" w:rsidP="004A7C04">
            <w:pPr>
              <w:spacing w:line="360" w:lineRule="auto"/>
              <w:jc w:val="both"/>
            </w:pPr>
            <w:r w:rsidRPr="00E936B5">
              <w:t>4.1</w:t>
            </w:r>
          </w:p>
        </w:tc>
        <w:tc>
          <w:tcPr>
            <w:tcW w:w="8930" w:type="dxa"/>
            <w:vAlign w:val="center"/>
          </w:tcPr>
          <w:p w:rsidR="004A7C04" w:rsidRPr="00E936B5" w:rsidRDefault="004A7C04" w:rsidP="004A7C04">
            <w:pPr>
              <w:jc w:val="center"/>
            </w:pPr>
            <w:r w:rsidRPr="00E936B5">
              <w:t>Перечень факторов, последствия которых окажут значительное влияние на сферы или отрасли экономики</w:t>
            </w:r>
            <w:r w:rsidRPr="00E936B5">
              <w:rPr>
                <w:vertAlign w:val="superscript"/>
              </w:rPr>
              <w:t xml:space="preserve"> 2</w:t>
            </w:r>
            <w:r w:rsidRPr="00E936B5">
              <w:t>:</w:t>
            </w:r>
          </w:p>
          <w:p w:rsidR="004A7C04" w:rsidRPr="00E936B5" w:rsidRDefault="004A7C04" w:rsidP="004A7C04">
            <w:pPr>
              <w:jc w:val="center"/>
              <w:rPr>
                <w:u w:val="single"/>
              </w:rPr>
            </w:pPr>
            <w:r w:rsidRPr="00E936B5">
              <w:t>1</w:t>
            </w:r>
            <w:r w:rsidRPr="00E936B5">
              <w:rPr>
                <w:u w:val="single"/>
              </w:rPr>
              <w:t xml:space="preserve">                                                      </w:t>
            </w:r>
            <w:r w:rsidR="003F3406" w:rsidRPr="00E936B5">
              <w:rPr>
                <w:u w:val="single"/>
              </w:rPr>
              <w:t>-</w:t>
            </w:r>
            <w:r w:rsidRPr="00E936B5">
              <w:rPr>
                <w:u w:val="single"/>
              </w:rPr>
              <w:t xml:space="preserve">                                                            1</w:t>
            </w:r>
          </w:p>
          <w:p w:rsidR="004A7C04" w:rsidRPr="00E936B5" w:rsidRDefault="004A7C04" w:rsidP="004A7C04">
            <w:pPr>
              <w:jc w:val="center"/>
            </w:pPr>
            <w:r w:rsidRPr="00E936B5">
              <w:t>(указывается перечень факторов с характеристикой их влияния)</w:t>
            </w:r>
          </w:p>
        </w:tc>
      </w:tr>
      <w:tr w:rsidR="00E936B5" w:rsidRPr="00E936B5" w:rsidTr="004A7C04">
        <w:tc>
          <w:tcPr>
            <w:tcW w:w="709" w:type="dxa"/>
          </w:tcPr>
          <w:p w:rsidR="004A7C04" w:rsidRPr="00E936B5" w:rsidRDefault="004A7C04" w:rsidP="004A7C04">
            <w:pPr>
              <w:spacing w:line="360" w:lineRule="auto"/>
              <w:jc w:val="both"/>
            </w:pPr>
            <w:r w:rsidRPr="00E936B5">
              <w:t>4.2</w:t>
            </w:r>
          </w:p>
        </w:tc>
        <w:tc>
          <w:tcPr>
            <w:tcW w:w="8930" w:type="dxa"/>
            <w:vAlign w:val="center"/>
          </w:tcPr>
          <w:p w:rsidR="004A7C04" w:rsidRPr="00E936B5" w:rsidRDefault="004A7C04" w:rsidP="004A7C04">
            <w:pPr>
              <w:jc w:val="center"/>
            </w:pPr>
            <w:r w:rsidRPr="00E936B5"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4A7C04" w:rsidRPr="00E936B5" w:rsidRDefault="004A7C04" w:rsidP="004A7C04">
            <w:pPr>
              <w:jc w:val="center"/>
              <w:rPr>
                <w:u w:val="single"/>
              </w:rPr>
            </w:pPr>
            <w:r w:rsidRPr="00E936B5">
              <w:t>1</w:t>
            </w:r>
            <w:r w:rsidRPr="00E936B5">
              <w:rPr>
                <w:u w:val="single"/>
              </w:rPr>
              <w:t xml:space="preserve">                                                  </w:t>
            </w:r>
            <w:r w:rsidR="003F3406" w:rsidRPr="00E936B5">
              <w:rPr>
                <w:u w:val="single"/>
              </w:rPr>
              <w:t>-</w:t>
            </w:r>
            <w:r w:rsidRPr="00E936B5">
              <w:rPr>
                <w:u w:val="single"/>
              </w:rPr>
              <w:t xml:space="preserve">                                                                1</w:t>
            </w:r>
          </w:p>
          <w:p w:rsidR="004A7C04" w:rsidRPr="00E936B5" w:rsidRDefault="004A7C04" w:rsidP="004A7C04">
            <w:pPr>
              <w:jc w:val="center"/>
            </w:pPr>
            <w:r w:rsidRPr="00E936B5">
              <w:t>(указываются предложения по корректировке и/или уточнению)</w:t>
            </w:r>
          </w:p>
        </w:tc>
      </w:tr>
      <w:tr w:rsidR="00E936B5" w:rsidRPr="00E936B5" w:rsidTr="004A7C04">
        <w:tc>
          <w:tcPr>
            <w:tcW w:w="709" w:type="dxa"/>
          </w:tcPr>
          <w:p w:rsidR="004A7C04" w:rsidRPr="00E936B5" w:rsidRDefault="004A7C04" w:rsidP="004A7C04">
            <w:pPr>
              <w:spacing w:line="360" w:lineRule="auto"/>
              <w:jc w:val="both"/>
            </w:pPr>
            <w:r w:rsidRPr="00E936B5">
              <w:t>4.3</w:t>
            </w:r>
          </w:p>
        </w:tc>
        <w:tc>
          <w:tcPr>
            <w:tcW w:w="8930" w:type="dxa"/>
            <w:vAlign w:val="center"/>
          </w:tcPr>
          <w:p w:rsidR="004A7C04" w:rsidRPr="00E936B5" w:rsidRDefault="004A7C04" w:rsidP="004A7C04">
            <w:pPr>
              <w:jc w:val="center"/>
            </w:pPr>
            <w:r w:rsidRPr="00E936B5"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4A7C04" w:rsidRPr="00E936B5" w:rsidRDefault="004A7C04" w:rsidP="004A7C04">
            <w:pPr>
              <w:jc w:val="center"/>
              <w:rPr>
                <w:u w:val="single"/>
              </w:rPr>
            </w:pPr>
            <w:r w:rsidRPr="00E936B5">
              <w:t>1</w:t>
            </w:r>
            <w:r w:rsidRPr="00E936B5">
              <w:rPr>
                <w:u w:val="single"/>
              </w:rPr>
              <w:t xml:space="preserve">                                                   </w:t>
            </w:r>
            <w:r w:rsidR="003F3406" w:rsidRPr="00E936B5">
              <w:rPr>
                <w:u w:val="single"/>
              </w:rPr>
              <w:t>-</w:t>
            </w:r>
            <w:r w:rsidRPr="00E936B5">
              <w:rPr>
                <w:u w:val="single"/>
              </w:rPr>
              <w:t xml:space="preserve">                                                               1</w:t>
            </w:r>
          </w:p>
          <w:p w:rsidR="004A7C04" w:rsidRPr="00E936B5" w:rsidRDefault="004A7C04" w:rsidP="004A7C04">
            <w:pPr>
              <w:jc w:val="center"/>
            </w:pPr>
            <w:r w:rsidRPr="00E936B5">
              <w:t>(указываются предложения по корректировке и/или уточнению)</w:t>
            </w:r>
          </w:p>
        </w:tc>
      </w:tr>
      <w:tr w:rsidR="004B7309" w:rsidRPr="00E936B5" w:rsidTr="004A7C04">
        <w:tc>
          <w:tcPr>
            <w:tcW w:w="709" w:type="dxa"/>
          </w:tcPr>
          <w:p w:rsidR="004A7C04" w:rsidRPr="00E936B5" w:rsidRDefault="004A7C04" w:rsidP="004A7C04">
            <w:pPr>
              <w:spacing w:line="360" w:lineRule="auto"/>
              <w:jc w:val="both"/>
            </w:pPr>
            <w:r w:rsidRPr="00E936B5">
              <w:t>4.4</w:t>
            </w:r>
          </w:p>
        </w:tc>
        <w:tc>
          <w:tcPr>
            <w:tcW w:w="8930" w:type="dxa"/>
            <w:vAlign w:val="center"/>
          </w:tcPr>
          <w:p w:rsidR="004A7C04" w:rsidRPr="00E936B5" w:rsidRDefault="004A7C04" w:rsidP="004A7C04">
            <w:pPr>
              <w:jc w:val="center"/>
            </w:pPr>
            <w:r w:rsidRPr="00E936B5"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4A7C04" w:rsidRPr="00E936B5" w:rsidRDefault="004A7C04" w:rsidP="004A7C04">
            <w:pPr>
              <w:jc w:val="center"/>
              <w:rPr>
                <w:u w:val="single"/>
              </w:rPr>
            </w:pPr>
            <w:r w:rsidRPr="00E936B5">
              <w:t>1</w:t>
            </w:r>
            <w:r w:rsidRPr="00E936B5">
              <w:rPr>
                <w:u w:val="single"/>
              </w:rPr>
              <w:t xml:space="preserve">                                                 </w:t>
            </w:r>
            <w:r w:rsidR="003F3406" w:rsidRPr="00E936B5">
              <w:rPr>
                <w:u w:val="single"/>
              </w:rPr>
              <w:t>-</w:t>
            </w:r>
            <w:r w:rsidRPr="00E936B5">
              <w:rPr>
                <w:u w:val="single"/>
              </w:rPr>
              <w:t xml:space="preserve">                                                                 1</w:t>
            </w:r>
          </w:p>
          <w:p w:rsidR="004A7C04" w:rsidRPr="00E936B5" w:rsidRDefault="004A7C04" w:rsidP="004A7C04">
            <w:pPr>
              <w:jc w:val="center"/>
            </w:pPr>
            <w:r w:rsidRPr="00E936B5">
              <w:t>(указываются предложения по корректировке и (или) уточнению)</w:t>
            </w:r>
          </w:p>
        </w:tc>
      </w:tr>
    </w:tbl>
    <w:p w:rsidR="004A7C04" w:rsidRPr="00E936B5" w:rsidRDefault="004A7C04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D92ABC" w:rsidRPr="00E936B5" w:rsidRDefault="004A7C04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936B5">
        <w:rPr>
          <w:sz w:val="22"/>
          <w:szCs w:val="22"/>
          <w:vertAlign w:val="superscript"/>
        </w:rPr>
        <w:t>2</w:t>
      </w:r>
      <w:r w:rsidRPr="00E936B5">
        <w:rPr>
          <w:sz w:val="22"/>
          <w:szCs w:val="22"/>
        </w:rPr>
        <w:t xml:space="preserve"> Указываются факторы, последствия которых окажут негативное или позитивное влияние</w:t>
      </w:r>
      <w:r w:rsidRPr="00E936B5">
        <w:rPr>
          <w:sz w:val="22"/>
          <w:szCs w:val="22"/>
        </w:rPr>
        <w:br/>
        <w:t>на сферу или отрасль экономики, с характеристикой их влияния. В качестве характеристики влияния фактора указывается «негативное/позитивное».</w:t>
      </w:r>
    </w:p>
    <w:p w:rsidR="00D92ABC" w:rsidRPr="00E936B5" w:rsidRDefault="00D92ABC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D92ABC" w:rsidRPr="00E46D9B" w:rsidRDefault="00D92ABC" w:rsidP="00D92ABC">
      <w:pPr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46D9B">
        <w:rPr>
          <w:sz w:val="28"/>
          <w:szCs w:val="28"/>
        </w:rPr>
        <w:t xml:space="preserve">. Сведения о </w:t>
      </w:r>
      <w:r>
        <w:rPr>
          <w:sz w:val="28"/>
          <w:szCs w:val="28"/>
        </w:rPr>
        <w:t xml:space="preserve">достижении целевых значений показателей </w:t>
      </w:r>
      <w:r w:rsidRPr="00E46D9B">
        <w:rPr>
          <w:sz w:val="28"/>
          <w:szCs w:val="28"/>
        </w:rPr>
        <w:t xml:space="preserve">за отчетный период </w:t>
      </w:r>
    </w:p>
    <w:tbl>
      <w:tblPr>
        <w:tblStyle w:val="a4"/>
        <w:tblW w:w="9707" w:type="dxa"/>
        <w:tblInd w:w="-34" w:type="dxa"/>
        <w:tblLook w:val="04A0" w:firstRow="1" w:lastRow="0" w:firstColumn="1" w:lastColumn="0" w:noHBand="0" w:noVBand="1"/>
      </w:tblPr>
      <w:tblGrid>
        <w:gridCol w:w="540"/>
        <w:gridCol w:w="3703"/>
        <w:gridCol w:w="1583"/>
        <w:gridCol w:w="979"/>
        <w:gridCol w:w="993"/>
        <w:gridCol w:w="1909"/>
      </w:tblGrid>
      <w:tr w:rsidR="00D92ABC" w:rsidRPr="00E46D9B" w:rsidTr="00D92ABC">
        <w:trPr>
          <w:trHeight w:val="232"/>
        </w:trPr>
        <w:tc>
          <w:tcPr>
            <w:tcW w:w="540" w:type="dxa"/>
            <w:vMerge w:val="restart"/>
            <w:vAlign w:val="center"/>
          </w:tcPr>
          <w:p w:rsidR="00D92ABC" w:rsidRPr="00E46D9B" w:rsidRDefault="00D92ABC" w:rsidP="00D92ABC">
            <w:pPr>
              <w:jc w:val="center"/>
            </w:pPr>
            <w:r w:rsidRPr="00E46D9B">
              <w:t xml:space="preserve">№ п/п </w:t>
            </w:r>
          </w:p>
        </w:tc>
        <w:tc>
          <w:tcPr>
            <w:tcW w:w="3703" w:type="dxa"/>
            <w:vMerge w:val="restart"/>
            <w:vAlign w:val="center"/>
          </w:tcPr>
          <w:p w:rsidR="00D92ABC" w:rsidRPr="00E46D9B" w:rsidRDefault="00D92ABC" w:rsidP="00D92ABC">
            <w:pPr>
              <w:jc w:val="center"/>
            </w:pPr>
            <w:r w:rsidRPr="00E46D9B">
              <w:t>Показатели отрасли/</w:t>
            </w:r>
            <w:r>
              <w:t>сферы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D92ABC" w:rsidRPr="00E46D9B" w:rsidRDefault="004E128B" w:rsidP="00D92ABC">
            <w:pPr>
              <w:jc w:val="center"/>
            </w:pPr>
            <w:r>
              <w:t>2015</w:t>
            </w:r>
            <w:r w:rsidR="00D92ABC" w:rsidRPr="00E46D9B">
              <w:t xml:space="preserve"> год </w:t>
            </w:r>
          </w:p>
        </w:tc>
        <w:tc>
          <w:tcPr>
            <w:tcW w:w="1972" w:type="dxa"/>
            <w:gridSpan w:val="2"/>
          </w:tcPr>
          <w:p w:rsidR="00D92ABC" w:rsidRPr="00E46D9B" w:rsidRDefault="004E128B" w:rsidP="00D92ABC">
            <w:pPr>
              <w:jc w:val="center"/>
            </w:pPr>
            <w:r>
              <w:t>2020</w:t>
            </w:r>
            <w:r w:rsidR="00D92ABC">
              <w:t xml:space="preserve"> год</w:t>
            </w:r>
          </w:p>
        </w:tc>
        <w:tc>
          <w:tcPr>
            <w:tcW w:w="1909" w:type="dxa"/>
            <w:vMerge w:val="restart"/>
            <w:vAlign w:val="center"/>
          </w:tcPr>
          <w:p w:rsidR="00D92ABC" w:rsidRPr="00AC1DD4" w:rsidRDefault="00D92ABC" w:rsidP="00D92ABC">
            <w:pPr>
              <w:ind w:right="47"/>
              <w:jc w:val="center"/>
              <w:rPr>
                <w:vertAlign w:val="superscript"/>
              </w:rPr>
            </w:pPr>
            <w:r>
              <w:t>Характеристика показателя</w:t>
            </w:r>
            <w:r>
              <w:rPr>
                <w:vertAlign w:val="superscript"/>
              </w:rPr>
              <w:t>5</w:t>
            </w:r>
          </w:p>
        </w:tc>
      </w:tr>
      <w:tr w:rsidR="00D92ABC" w:rsidRPr="00E46D9B" w:rsidTr="00D92ABC">
        <w:trPr>
          <w:trHeight w:val="231"/>
        </w:trPr>
        <w:tc>
          <w:tcPr>
            <w:tcW w:w="540" w:type="dxa"/>
            <w:vMerge/>
            <w:vAlign w:val="center"/>
          </w:tcPr>
          <w:p w:rsidR="00D92ABC" w:rsidRPr="00E46D9B" w:rsidRDefault="00D92ABC" w:rsidP="00D92ABC">
            <w:pPr>
              <w:jc w:val="center"/>
            </w:pPr>
          </w:p>
        </w:tc>
        <w:tc>
          <w:tcPr>
            <w:tcW w:w="3703" w:type="dxa"/>
            <w:vMerge/>
            <w:vAlign w:val="center"/>
          </w:tcPr>
          <w:p w:rsidR="00D92ABC" w:rsidRPr="00E46D9B" w:rsidRDefault="00D92ABC" w:rsidP="00D92ABC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D92ABC" w:rsidRPr="00E46D9B" w:rsidRDefault="00D92ABC" w:rsidP="00D92ABC">
            <w:pPr>
              <w:jc w:val="center"/>
            </w:pPr>
          </w:p>
        </w:tc>
        <w:tc>
          <w:tcPr>
            <w:tcW w:w="979" w:type="dxa"/>
          </w:tcPr>
          <w:p w:rsidR="00D92ABC" w:rsidRPr="00856C95" w:rsidRDefault="00D92ABC" w:rsidP="00D92ABC">
            <w:pPr>
              <w:jc w:val="center"/>
              <w:rPr>
                <w:vertAlign w:val="superscript"/>
              </w:rPr>
            </w:pPr>
            <w:r>
              <w:t>План</w:t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92ABC" w:rsidRPr="00E46D9B" w:rsidRDefault="00D92ABC" w:rsidP="00D92ABC">
            <w:pPr>
              <w:jc w:val="center"/>
            </w:pPr>
            <w:r>
              <w:t>Факт</w:t>
            </w:r>
          </w:p>
        </w:tc>
        <w:tc>
          <w:tcPr>
            <w:tcW w:w="1909" w:type="dxa"/>
            <w:vMerge/>
            <w:vAlign w:val="center"/>
          </w:tcPr>
          <w:p w:rsidR="00D92ABC" w:rsidRDefault="00D92ABC" w:rsidP="00D92ABC">
            <w:pPr>
              <w:ind w:right="47"/>
              <w:jc w:val="center"/>
            </w:pPr>
          </w:p>
        </w:tc>
      </w:tr>
      <w:tr w:rsidR="00D92ABC" w:rsidRPr="00E46D9B" w:rsidTr="00D92ABC">
        <w:tc>
          <w:tcPr>
            <w:tcW w:w="540" w:type="dxa"/>
          </w:tcPr>
          <w:p w:rsidR="00D92ABC" w:rsidRPr="00E46D9B" w:rsidRDefault="00D92ABC" w:rsidP="00D92ABC">
            <w:pPr>
              <w:pStyle w:val="a5"/>
              <w:ind w:left="0"/>
            </w:pPr>
            <w:r>
              <w:t>5</w:t>
            </w:r>
            <w:r w:rsidRPr="00E46D9B">
              <w:t>.1</w:t>
            </w:r>
          </w:p>
        </w:tc>
        <w:tc>
          <w:tcPr>
            <w:tcW w:w="3703" w:type="dxa"/>
          </w:tcPr>
          <w:p w:rsidR="004E128B" w:rsidRDefault="004E128B" w:rsidP="004E12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старшего поколения, занимающихся физической культурой и спортом, процентов</w:t>
            </w:r>
          </w:p>
          <w:p w:rsidR="00D92ABC" w:rsidRPr="00E46D9B" w:rsidRDefault="00D92ABC" w:rsidP="00D92ABC">
            <w:pPr>
              <w:pStyle w:val="a5"/>
              <w:ind w:left="0"/>
              <w:jc w:val="both"/>
            </w:pPr>
          </w:p>
        </w:tc>
        <w:tc>
          <w:tcPr>
            <w:tcW w:w="1583" w:type="dxa"/>
          </w:tcPr>
          <w:p w:rsidR="00D92ABC" w:rsidRDefault="00D92ABC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D92ABC" w:rsidRDefault="00D92ABC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92ABC" w:rsidRDefault="00D92ABC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D92ABC" w:rsidRPr="00E46D9B" w:rsidRDefault="000E38B3" w:rsidP="00D92ABC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3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D92ABC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35.85pt;margin-top:21.0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CMaIyklQIAALAFAAAOAAAAAAAAAAAAAAAAAC4CAABkcnMvZTJvRG9jLnht&#10;bFBLAQItABQABgAIAAAAIQCsfD0P3QAAAAgBAAAPAAAAAAAAAAAAAAAAAO8EAABkcnMvZG93bnJl&#10;di54bWxQSwUGAAAAAAQABADzAAAA+QUAAAAA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D92AB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0353" w:rsidRPr="00E46D9B" w:rsidTr="00D92ABC">
        <w:tc>
          <w:tcPr>
            <w:tcW w:w="540" w:type="dxa"/>
          </w:tcPr>
          <w:p w:rsidR="00580353" w:rsidRPr="00E46D9B" w:rsidRDefault="00580353" w:rsidP="00D92ABC">
            <w:pPr>
              <w:pStyle w:val="a5"/>
              <w:ind w:left="0"/>
            </w:pPr>
            <w:r>
              <w:t>5</w:t>
            </w:r>
            <w:r w:rsidRPr="00E46D9B">
              <w:t>.2</w:t>
            </w:r>
          </w:p>
        </w:tc>
        <w:tc>
          <w:tcPr>
            <w:tcW w:w="3703" w:type="dxa"/>
          </w:tcPr>
          <w:p w:rsidR="00580353" w:rsidRDefault="00580353" w:rsidP="00C61C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Обеспеченность геронтологическими койками, единиц на 10000 населения 60 лет и старше</w:t>
            </w:r>
          </w:p>
          <w:p w:rsidR="00580353" w:rsidRPr="00E46D9B" w:rsidRDefault="00580353" w:rsidP="00D92ABC">
            <w:pPr>
              <w:pStyle w:val="a5"/>
              <w:ind w:left="0"/>
              <w:jc w:val="both"/>
            </w:pPr>
          </w:p>
        </w:tc>
        <w:tc>
          <w:tcPr>
            <w:tcW w:w="1583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1,26</w:t>
            </w:r>
          </w:p>
        </w:tc>
        <w:tc>
          <w:tcPr>
            <w:tcW w:w="979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2,26</w:t>
            </w:r>
          </w:p>
        </w:tc>
        <w:tc>
          <w:tcPr>
            <w:tcW w:w="993" w:type="dxa"/>
          </w:tcPr>
          <w:p w:rsidR="00580353" w:rsidRDefault="00580353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80353" w:rsidRPr="00E46D9B" w:rsidRDefault="000E38B3" w:rsidP="00580353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2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D92ABC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35.85pt;margin-top:21.0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B+3utMlQIAALcFAAAOAAAAAAAAAAAAAAAAAC4CAABkcnMvZTJvRG9jLnht&#10;bFBLAQItABQABgAIAAAAIQCsfD0P3QAAAAgBAAAPAAAAAAAAAAAAAAAAAO8EAABkcnMvZG93bnJl&#10;di54bWxQSwUGAAAAAAQABADzAAAA+QUAAAAA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D92AB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0353" w:rsidRPr="00E46D9B" w:rsidTr="00D92ABC">
        <w:tc>
          <w:tcPr>
            <w:tcW w:w="540" w:type="dxa"/>
          </w:tcPr>
          <w:p w:rsidR="00580353" w:rsidRPr="00E46D9B" w:rsidRDefault="00580353" w:rsidP="00D92ABC">
            <w:pPr>
              <w:pStyle w:val="a5"/>
              <w:ind w:left="0"/>
            </w:pPr>
            <w:r>
              <w:t>5</w:t>
            </w:r>
            <w:r w:rsidRPr="00E46D9B">
              <w:t>.3</w:t>
            </w:r>
          </w:p>
        </w:tc>
        <w:tc>
          <w:tcPr>
            <w:tcW w:w="3703" w:type="dxa"/>
          </w:tcPr>
          <w:p w:rsidR="00580353" w:rsidRDefault="00580353" w:rsidP="00C61C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старшего поколения, получивших социальное обслуживание, в общем числе граждан старшего поколения, признанных нуждающимися в социальном обслуживании, процентов</w:t>
            </w:r>
          </w:p>
          <w:p w:rsidR="00580353" w:rsidRPr="00E46D9B" w:rsidRDefault="00580353" w:rsidP="00D92ABC">
            <w:pPr>
              <w:pStyle w:val="a5"/>
              <w:ind w:left="0"/>
              <w:jc w:val="both"/>
            </w:pPr>
          </w:p>
        </w:tc>
        <w:tc>
          <w:tcPr>
            <w:tcW w:w="1583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50</w:t>
            </w:r>
          </w:p>
        </w:tc>
        <w:tc>
          <w:tcPr>
            <w:tcW w:w="979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580353" w:rsidRDefault="00580353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80353" w:rsidRPr="00E46D9B" w:rsidRDefault="000E38B3" w:rsidP="00580353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0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D92ABC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35.85pt;margin-top:21.0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D92AB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0353" w:rsidRPr="00E46D9B" w:rsidTr="00D92ABC">
        <w:tc>
          <w:tcPr>
            <w:tcW w:w="540" w:type="dxa"/>
          </w:tcPr>
          <w:p w:rsidR="00580353" w:rsidRPr="00E46D9B" w:rsidRDefault="00580353" w:rsidP="00D92ABC">
            <w:pPr>
              <w:pStyle w:val="a5"/>
              <w:ind w:left="0"/>
            </w:pPr>
            <w:r>
              <w:t>5</w:t>
            </w:r>
            <w:r w:rsidRPr="00E46D9B">
              <w:t>.4</w:t>
            </w:r>
          </w:p>
        </w:tc>
        <w:tc>
          <w:tcPr>
            <w:tcW w:w="3703" w:type="dxa"/>
          </w:tcPr>
          <w:p w:rsidR="00580353" w:rsidRDefault="00580353" w:rsidP="00C61C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старшего поколения, удовлетворенных качеством предоставляемых социальных услуг, в общем числе получателей социальных услуг, процентов</w:t>
            </w:r>
          </w:p>
          <w:p w:rsidR="00580353" w:rsidRPr="00E46D9B" w:rsidRDefault="00580353" w:rsidP="00D92ABC">
            <w:pPr>
              <w:pStyle w:val="a5"/>
              <w:ind w:left="0"/>
              <w:jc w:val="both"/>
            </w:pPr>
          </w:p>
        </w:tc>
        <w:tc>
          <w:tcPr>
            <w:tcW w:w="1583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50</w:t>
            </w:r>
          </w:p>
        </w:tc>
        <w:tc>
          <w:tcPr>
            <w:tcW w:w="979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580353" w:rsidRDefault="00580353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80353" w:rsidRPr="00E46D9B" w:rsidRDefault="000E38B3" w:rsidP="00580353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9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D92ABC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35.85pt;margin-top:21.0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D92AB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0353" w:rsidRPr="00E46D9B" w:rsidTr="00D92ABC">
        <w:tc>
          <w:tcPr>
            <w:tcW w:w="540" w:type="dxa"/>
          </w:tcPr>
          <w:p w:rsidR="00580353" w:rsidRDefault="00580353" w:rsidP="0044365D">
            <w:pPr>
              <w:pStyle w:val="a5"/>
              <w:ind w:left="0"/>
            </w:pPr>
            <w:r>
              <w:t>5.5</w:t>
            </w:r>
          </w:p>
        </w:tc>
        <w:tc>
          <w:tcPr>
            <w:tcW w:w="3703" w:type="dxa"/>
          </w:tcPr>
          <w:p w:rsidR="00580353" w:rsidRDefault="00580353" w:rsidP="004436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нестационарных и мобильных торговых объектов, тыс. штук</w:t>
            </w:r>
          </w:p>
          <w:p w:rsidR="00580353" w:rsidRDefault="00580353" w:rsidP="00C61C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193,2</w:t>
            </w:r>
          </w:p>
        </w:tc>
        <w:tc>
          <w:tcPr>
            <w:tcW w:w="979" w:type="dxa"/>
          </w:tcPr>
          <w:p w:rsidR="00580353" w:rsidRDefault="00580353" w:rsidP="00752237">
            <w:pPr>
              <w:pStyle w:val="a5"/>
              <w:ind w:left="0"/>
              <w:jc w:val="center"/>
            </w:pPr>
          </w:p>
          <w:p w:rsidR="0031268D" w:rsidRPr="00E46D9B" w:rsidRDefault="0031268D" w:rsidP="00752237">
            <w:pPr>
              <w:pStyle w:val="a5"/>
              <w:ind w:left="0"/>
              <w:jc w:val="center"/>
            </w:pPr>
            <w:r>
              <w:t>210-240</w:t>
            </w:r>
          </w:p>
        </w:tc>
        <w:tc>
          <w:tcPr>
            <w:tcW w:w="993" w:type="dxa"/>
          </w:tcPr>
          <w:p w:rsidR="00580353" w:rsidRDefault="00580353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80353" w:rsidRPr="00E46D9B" w:rsidRDefault="000E38B3" w:rsidP="00580353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8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D92ABC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35.85pt;margin-top:21.0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Asu/kXlQIAALYFAAAOAAAAAAAAAAAAAAAAAC4CAABkcnMvZTJvRG9jLnht&#10;bFBLAQItABQABgAIAAAAIQCsfD0P3QAAAAgBAAAPAAAAAAAAAAAAAAAAAO8EAABkcnMvZG93bnJl&#10;di54bWxQSwUGAAAAAAQABADzAAAA+QUAAAAA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D92AB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0353" w:rsidRPr="00E46D9B" w:rsidTr="00D92ABC">
        <w:tc>
          <w:tcPr>
            <w:tcW w:w="540" w:type="dxa"/>
          </w:tcPr>
          <w:p w:rsidR="00580353" w:rsidRDefault="00580353" w:rsidP="0044365D">
            <w:pPr>
              <w:pStyle w:val="a5"/>
              <w:ind w:left="0"/>
            </w:pPr>
            <w:r>
              <w:t>5.6</w:t>
            </w:r>
          </w:p>
        </w:tc>
        <w:tc>
          <w:tcPr>
            <w:tcW w:w="3703" w:type="dxa"/>
          </w:tcPr>
          <w:p w:rsidR="00580353" w:rsidRDefault="00580353" w:rsidP="004436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выпущенных автобусов, предназначенных для перевозки лиц с ограниченными возможностями, в том числе для инвалидов-колясочников, штук</w:t>
            </w:r>
          </w:p>
          <w:p w:rsidR="00580353" w:rsidRDefault="00580353" w:rsidP="004436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580353" w:rsidRDefault="00580353" w:rsidP="00801E71">
            <w:pPr>
              <w:pStyle w:val="a5"/>
              <w:ind w:left="0"/>
              <w:jc w:val="center"/>
            </w:pPr>
          </w:p>
          <w:p w:rsidR="00801E71" w:rsidRDefault="00801E71" w:rsidP="00801E71">
            <w:pPr>
              <w:pStyle w:val="a5"/>
              <w:ind w:left="0"/>
              <w:jc w:val="center"/>
            </w:pPr>
            <w:r>
              <w:t>1173</w:t>
            </w:r>
          </w:p>
          <w:p w:rsidR="0031268D" w:rsidRPr="00E46D9B" w:rsidRDefault="0031268D" w:rsidP="00801E71">
            <w:pPr>
              <w:pStyle w:val="a5"/>
              <w:ind w:left="0"/>
              <w:jc w:val="center"/>
            </w:pPr>
          </w:p>
        </w:tc>
        <w:tc>
          <w:tcPr>
            <w:tcW w:w="979" w:type="dxa"/>
          </w:tcPr>
          <w:p w:rsidR="00580353" w:rsidRDefault="00580353" w:rsidP="00801E71">
            <w:pPr>
              <w:pStyle w:val="a5"/>
              <w:ind w:left="0"/>
              <w:jc w:val="center"/>
            </w:pPr>
          </w:p>
          <w:p w:rsidR="00801E71" w:rsidRPr="00E46D9B" w:rsidRDefault="00801E71" w:rsidP="00801E71">
            <w:pPr>
              <w:pStyle w:val="a5"/>
              <w:ind w:left="0"/>
              <w:jc w:val="center"/>
            </w:pPr>
            <w:r>
              <w:t>1820</w:t>
            </w:r>
          </w:p>
        </w:tc>
        <w:tc>
          <w:tcPr>
            <w:tcW w:w="993" w:type="dxa"/>
          </w:tcPr>
          <w:p w:rsidR="00580353" w:rsidRDefault="00580353" w:rsidP="00FF4484">
            <w:pPr>
              <w:pStyle w:val="a5"/>
              <w:ind w:left="0"/>
              <w:jc w:val="center"/>
            </w:pPr>
          </w:p>
          <w:p w:rsidR="00FF4484" w:rsidRPr="00E46D9B" w:rsidRDefault="00FF4484" w:rsidP="00FF4484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80353" w:rsidRPr="00E46D9B" w:rsidRDefault="000E38B3" w:rsidP="00580353">
            <w:pPr>
              <w:pStyle w:val="a5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7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Default="002A7DE8" w:rsidP="006C35A7">
                                  <w:pPr>
                                    <w:jc w:val="center"/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35.85pt;margin-top:21.0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Default="002A7DE8" w:rsidP="006C35A7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D92ABC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D92ABC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Каждый показатель указывается в отдельной строке.</w:t>
      </w:r>
    </w:p>
    <w:p w:rsidR="00D92ABC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D92ABC" w:rsidRPr="00E46D9B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46D9B">
        <w:rPr>
          <w:sz w:val="22"/>
          <w:szCs w:val="22"/>
        </w:rPr>
        <w:t>аполняется в соответствии с динамикой относительно предыдущего года</w:t>
      </w:r>
      <w:r>
        <w:rPr>
          <w:sz w:val="22"/>
          <w:szCs w:val="22"/>
        </w:rPr>
        <w:t xml:space="preserve"> (с точки зрения достижения целевого значения показателя)</w:t>
      </w:r>
      <w:r w:rsidRPr="00E46D9B">
        <w:rPr>
          <w:sz w:val="22"/>
          <w:szCs w:val="22"/>
        </w:rPr>
        <w:t xml:space="preserve">: </w:t>
      </w:r>
    </w:p>
    <w:p w:rsidR="00D92ABC" w:rsidRPr="00BF3247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32385</wp:posOffset>
                </wp:positionV>
                <wp:extent cx="135890" cy="127000"/>
                <wp:effectExtent l="57150" t="19050" r="35560" b="101600"/>
                <wp:wrapNone/>
                <wp:docPr id="6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F0F00" id="Овал 4" o:spid="_x0000_s1026" style="position:absolute;margin-left:18.9pt;margin-top:2.55pt;width:10.7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EIO72iQAgAAowUAAA4AAAAAAAAAAAAAAAAALgIAAGRycy9lMm9Eb2MueG1sUEsBAi0A&#10;FAAGAAgAAAAhAKR8+o3bAAAABgEAAA8AAAAAAAAAAAAAAAAA6gQAAGRycy9kb3ducmV2LnhtbFBL&#10;BQYAAAAABAAEAPMAAADyBQAAAAA=&#10;" fillcolor="white [3212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D92ABC" w:rsidRPr="006D215D">
        <w:rPr>
          <w:noProof/>
          <w:sz w:val="22"/>
          <w:szCs w:val="22"/>
        </w:rPr>
        <w:t xml:space="preserve">улучшение ситуации </w:t>
      </w:r>
      <w:r w:rsidR="00D92ABC">
        <w:rPr>
          <w:noProof/>
          <w:sz w:val="22"/>
          <w:szCs w:val="22"/>
        </w:rPr>
        <w:t xml:space="preserve">в отрасли </w:t>
      </w:r>
      <w:r w:rsidR="00D92ABC" w:rsidRPr="006D215D">
        <w:rPr>
          <w:noProof/>
          <w:sz w:val="22"/>
          <w:szCs w:val="22"/>
        </w:rPr>
        <w:t>по сравнению с</w:t>
      </w:r>
      <w:r w:rsidR="00D92ABC" w:rsidRPr="00BF3247">
        <w:rPr>
          <w:sz w:val="22"/>
          <w:szCs w:val="22"/>
        </w:rPr>
        <w:t xml:space="preserve"> предыдущим годом</w:t>
      </w:r>
      <w:r w:rsidR="00D92ABC">
        <w:rPr>
          <w:sz w:val="22"/>
          <w:szCs w:val="22"/>
        </w:rPr>
        <w:t>;</w:t>
      </w:r>
    </w:p>
    <w:p w:rsidR="00D92ABC" w:rsidRPr="00E46D9B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26670</wp:posOffset>
                </wp:positionV>
                <wp:extent cx="135890" cy="127000"/>
                <wp:effectExtent l="13970" t="6350" r="12065" b="28575"/>
                <wp:wrapNone/>
                <wp:docPr id="5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B9F62" id="Овал 3" o:spid="_x0000_s1026" style="position:absolute;margin-left:18.8pt;margin-top:2.1pt;width:10.7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" fillcolor="black [3213]" strokecolor="black [3213]">
                <v:fill r:id="rId8" o:title="" color2="white [3212]" type="pattern"/>
                <v:shadow on="t" color="black" opacity="22936f" origin=",.5" offset="0,.63889mm"/>
              </v:oval>
            </w:pict>
          </mc:Fallback>
        </mc:AlternateContent>
      </w:r>
      <w:r w:rsidR="00D92ABC">
        <w:rPr>
          <w:sz w:val="22"/>
          <w:szCs w:val="22"/>
        </w:rPr>
        <w:t xml:space="preserve">ситуация не изменилась; </w:t>
      </w:r>
    </w:p>
    <w:p w:rsidR="00D92ABC" w:rsidRPr="001F6979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5890" cy="127000"/>
                <wp:effectExtent l="57150" t="19050" r="35560" b="10160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AE4F2" id="Овал 2" o:spid="_x0000_s1026" style="position:absolute;margin-left:18.3pt;margin-top:2.05pt;width:10.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hZZTjQIAAKMFAAAOAAAAAAAAAAAAAAAAAC4CAABkcnMvZTJvRG9jLnhtbFBLAQItABQA&#10;BgAIAAAAIQDeJPBf3AAAAAYBAAAPAAAAAAAAAAAAAAAAAOcEAABkcnMvZG93bnJldi54bWxQSwUG&#10;AAAAAAQABADzAAAA8AUAAAAA&#10;" fillcolor="black [3213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D92ABC" w:rsidRPr="001F6979">
        <w:rPr>
          <w:noProof/>
          <w:sz w:val="22"/>
          <w:szCs w:val="22"/>
        </w:rPr>
        <w:t>ухудшение ситуации по сравнению с</w:t>
      </w:r>
      <w:r w:rsidR="00D92ABC" w:rsidRPr="001F6979">
        <w:rPr>
          <w:sz w:val="22"/>
          <w:szCs w:val="22"/>
        </w:rPr>
        <w:t xml:space="preserve"> предыдущим годом.</w:t>
      </w:r>
    </w:p>
    <w:p w:rsidR="00D92ABC" w:rsidRPr="00E46D9B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77AF9">
        <w:rPr>
          <w:sz w:val="28"/>
          <w:szCs w:val="28"/>
        </w:rPr>
        <w:t xml:space="preserve">6. Данные об использованных бюджетных ассигнованиях на реализацию мероприятий государственных программ Российской Федерации, </w:t>
      </w:r>
      <w:r w:rsidRPr="00B77AF9">
        <w:rPr>
          <w:sz w:val="28"/>
          <w:szCs w:val="28"/>
        </w:rPr>
        <w:lastRenderedPageBreak/>
        <w:t>обеспечивающих реализацию отраслевого документа стратегического планирования</w:t>
      </w:r>
    </w:p>
    <w:tbl>
      <w:tblPr>
        <w:tblStyle w:val="a4"/>
        <w:tblW w:w="97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444"/>
      </w:tblGrid>
      <w:tr w:rsidR="00B77AF9" w:rsidRPr="00B77AF9" w:rsidTr="001C47DA">
        <w:tc>
          <w:tcPr>
            <w:tcW w:w="1101" w:type="dxa"/>
          </w:tcPr>
          <w:p w:rsidR="0010716C" w:rsidRPr="00B77AF9" w:rsidRDefault="0010716C" w:rsidP="001C47DA">
            <w:pPr>
              <w:jc w:val="center"/>
            </w:pPr>
            <w:r w:rsidRPr="00B77AF9">
              <w:t>№ п/п</w:t>
            </w:r>
          </w:p>
        </w:tc>
        <w:tc>
          <w:tcPr>
            <w:tcW w:w="5244" w:type="dxa"/>
            <w:vAlign w:val="center"/>
          </w:tcPr>
          <w:p w:rsidR="0010716C" w:rsidRPr="00B77AF9" w:rsidRDefault="0010716C" w:rsidP="001C47DA">
            <w:pPr>
              <w:ind w:left="-113" w:right="20" w:firstLine="9"/>
              <w:jc w:val="center"/>
            </w:pPr>
            <w:r w:rsidRPr="00B77AF9">
              <w:t>Наименование государственной программы Российской Федерации (госпрограммы), федеральной целевой программы (ФЦП) либо</w:t>
            </w:r>
            <w:r w:rsidRPr="00B77AF9">
              <w:br/>
              <w:t>их составляющих</w:t>
            </w:r>
            <w:r w:rsidRPr="00B77AF9">
              <w:rPr>
                <w:vertAlign w:val="superscript"/>
              </w:rPr>
              <w:t>6</w:t>
            </w:r>
          </w:p>
        </w:tc>
        <w:tc>
          <w:tcPr>
            <w:tcW w:w="3444" w:type="dxa"/>
          </w:tcPr>
          <w:p w:rsidR="0010716C" w:rsidRPr="00B77AF9" w:rsidRDefault="0010716C" w:rsidP="001C47DA">
            <w:pPr>
              <w:jc w:val="center"/>
            </w:pPr>
            <w:r w:rsidRPr="00B77AF9">
              <w:t>Объем бюджетных ассигнований, выделенных</w:t>
            </w:r>
            <w:r w:rsidRPr="00B77AF9">
              <w:br/>
              <w:t>в отчетном году на реализацию отраслевого документа стратегического планирования</w:t>
            </w:r>
          </w:p>
        </w:tc>
      </w:tr>
      <w:tr w:rsidR="00B77AF9" w:rsidRPr="00B77AF9" w:rsidTr="001C47DA">
        <w:tc>
          <w:tcPr>
            <w:tcW w:w="1101" w:type="dxa"/>
          </w:tcPr>
          <w:p w:rsidR="0010716C" w:rsidRPr="00B77AF9" w:rsidRDefault="0010716C" w:rsidP="001C47DA">
            <w:pPr>
              <w:jc w:val="center"/>
            </w:pPr>
            <w:r w:rsidRPr="00B77AF9">
              <w:t>1</w:t>
            </w:r>
          </w:p>
        </w:tc>
        <w:tc>
          <w:tcPr>
            <w:tcW w:w="5244" w:type="dxa"/>
            <w:vAlign w:val="center"/>
          </w:tcPr>
          <w:p w:rsidR="0010716C" w:rsidRPr="00B77AF9" w:rsidRDefault="0010716C" w:rsidP="001C47DA">
            <w:pPr>
              <w:ind w:left="-113" w:right="20" w:firstLine="9"/>
              <w:jc w:val="center"/>
            </w:pPr>
            <w:r w:rsidRPr="00B77AF9">
              <w:t>2</w:t>
            </w:r>
          </w:p>
        </w:tc>
        <w:tc>
          <w:tcPr>
            <w:tcW w:w="3444" w:type="dxa"/>
          </w:tcPr>
          <w:p w:rsidR="0010716C" w:rsidRPr="00B77AF9" w:rsidRDefault="0010716C" w:rsidP="001C47DA">
            <w:pPr>
              <w:jc w:val="center"/>
            </w:pPr>
            <w:r w:rsidRPr="00B77AF9">
              <w:t>3</w:t>
            </w:r>
          </w:p>
        </w:tc>
      </w:tr>
      <w:tr w:rsidR="00B77AF9" w:rsidRPr="00B77AF9" w:rsidTr="001C47DA">
        <w:tc>
          <w:tcPr>
            <w:tcW w:w="1101" w:type="dxa"/>
          </w:tcPr>
          <w:p w:rsidR="0010716C" w:rsidRPr="00B77AF9" w:rsidRDefault="0010716C" w:rsidP="001C47DA">
            <w:pPr>
              <w:jc w:val="center"/>
            </w:pPr>
            <w:r w:rsidRPr="00B77AF9">
              <w:t>6.1</w:t>
            </w:r>
          </w:p>
        </w:tc>
        <w:tc>
          <w:tcPr>
            <w:tcW w:w="5244" w:type="dxa"/>
            <w:vAlign w:val="center"/>
          </w:tcPr>
          <w:p w:rsidR="0010716C" w:rsidRPr="00B77AF9" w:rsidRDefault="0010716C" w:rsidP="001C47DA">
            <w:pPr>
              <w:jc w:val="center"/>
            </w:pPr>
            <w:r w:rsidRPr="00B77AF9">
              <w:t>Наименование госпрограммы:</w:t>
            </w:r>
          </w:p>
          <w:p w:rsidR="0010716C" w:rsidRPr="00B77AF9" w:rsidRDefault="0010716C" w:rsidP="001C47DA">
            <w:pPr>
              <w:jc w:val="center"/>
              <w:rPr>
                <w:u w:val="single"/>
              </w:rPr>
            </w:pPr>
            <w:r w:rsidRPr="00B77AF9">
              <w:rPr>
                <w:u w:val="single"/>
              </w:rPr>
              <w:t xml:space="preserve">                                        </w:t>
            </w:r>
            <w:r w:rsidR="00AE09D3" w:rsidRPr="00B77AF9">
              <w:rPr>
                <w:u w:val="single"/>
              </w:rPr>
              <w:t>-</w:t>
            </w:r>
            <w:r w:rsidRPr="00B77AF9">
              <w:rPr>
                <w:u w:val="single"/>
              </w:rPr>
              <w:t xml:space="preserve">                                    1</w:t>
            </w:r>
          </w:p>
          <w:p w:rsidR="0010716C" w:rsidRPr="00B77AF9" w:rsidRDefault="0010716C" w:rsidP="001C47DA">
            <w:pPr>
              <w:jc w:val="center"/>
            </w:pPr>
            <w:r w:rsidRPr="00B77AF9">
              <w:t>(указывается наименование)</w:t>
            </w:r>
          </w:p>
        </w:tc>
        <w:tc>
          <w:tcPr>
            <w:tcW w:w="3444" w:type="dxa"/>
          </w:tcPr>
          <w:p w:rsidR="0010716C" w:rsidRPr="00B77AF9" w:rsidRDefault="0010716C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  <w:r w:rsidRPr="00B77AF9">
              <w:t>-</w:t>
            </w:r>
          </w:p>
        </w:tc>
      </w:tr>
      <w:tr w:rsidR="00B77AF9" w:rsidRPr="00B77AF9" w:rsidTr="001C47DA">
        <w:tc>
          <w:tcPr>
            <w:tcW w:w="1101" w:type="dxa"/>
          </w:tcPr>
          <w:p w:rsidR="0010716C" w:rsidRPr="00B77AF9" w:rsidRDefault="0010716C" w:rsidP="001C47DA">
            <w:pPr>
              <w:jc w:val="center"/>
            </w:pPr>
            <w:r w:rsidRPr="00B77AF9">
              <w:t>6.1.1</w:t>
            </w:r>
          </w:p>
        </w:tc>
        <w:tc>
          <w:tcPr>
            <w:tcW w:w="5244" w:type="dxa"/>
            <w:vAlign w:val="center"/>
          </w:tcPr>
          <w:p w:rsidR="0010716C" w:rsidRPr="00B77AF9" w:rsidRDefault="0010716C" w:rsidP="001C47DA">
            <w:pPr>
              <w:jc w:val="center"/>
            </w:pPr>
            <w:r w:rsidRPr="00B77AF9">
              <w:t>Наименование подпрограммы/ФЦП госпрограммы:</w:t>
            </w:r>
          </w:p>
          <w:p w:rsidR="0010716C" w:rsidRPr="00B77AF9" w:rsidRDefault="0010716C" w:rsidP="001C47DA">
            <w:pPr>
              <w:jc w:val="center"/>
              <w:rPr>
                <w:u w:val="single"/>
              </w:rPr>
            </w:pPr>
            <w:r w:rsidRPr="00B77AF9">
              <w:rPr>
                <w:u w:val="single"/>
              </w:rPr>
              <w:t xml:space="preserve">                                   </w:t>
            </w:r>
            <w:r w:rsidR="00AE09D3" w:rsidRPr="00B77AF9">
              <w:rPr>
                <w:u w:val="single"/>
              </w:rPr>
              <w:t>-</w:t>
            </w:r>
            <w:r w:rsidRPr="00B77AF9">
              <w:rPr>
                <w:u w:val="single"/>
              </w:rPr>
              <w:t xml:space="preserve">                                         1</w:t>
            </w:r>
          </w:p>
          <w:p w:rsidR="0010716C" w:rsidRPr="00B77AF9" w:rsidRDefault="0010716C" w:rsidP="001C47DA">
            <w:pPr>
              <w:jc w:val="center"/>
            </w:pPr>
            <w:r w:rsidRPr="00B77AF9">
              <w:t>(указывается наименование)</w:t>
            </w:r>
          </w:p>
        </w:tc>
        <w:tc>
          <w:tcPr>
            <w:tcW w:w="3444" w:type="dxa"/>
          </w:tcPr>
          <w:p w:rsidR="0010716C" w:rsidRPr="00B77AF9" w:rsidRDefault="0010716C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  <w:r w:rsidRPr="00B77AF9">
              <w:t>-</w:t>
            </w:r>
          </w:p>
        </w:tc>
      </w:tr>
      <w:tr w:rsidR="004B7309" w:rsidRPr="00B77AF9" w:rsidTr="001C47DA">
        <w:tc>
          <w:tcPr>
            <w:tcW w:w="1101" w:type="dxa"/>
          </w:tcPr>
          <w:p w:rsidR="0010716C" w:rsidRPr="00B77AF9" w:rsidRDefault="0010716C" w:rsidP="001C47DA">
            <w:pPr>
              <w:jc w:val="center"/>
            </w:pPr>
            <w:r w:rsidRPr="00B77AF9">
              <w:t>6.1.1.1</w:t>
            </w:r>
          </w:p>
        </w:tc>
        <w:tc>
          <w:tcPr>
            <w:tcW w:w="5244" w:type="dxa"/>
            <w:vAlign w:val="center"/>
          </w:tcPr>
          <w:p w:rsidR="0010716C" w:rsidRPr="00B77AF9" w:rsidRDefault="0010716C" w:rsidP="001C47DA">
            <w:pPr>
              <w:jc w:val="center"/>
            </w:pPr>
            <w:r w:rsidRPr="00B77AF9">
              <w:t>Наименование основного мероприятия подпрограммы госпрограммы/мероприятия в рамках ФЦП:</w:t>
            </w:r>
          </w:p>
          <w:p w:rsidR="0010716C" w:rsidRPr="00B77AF9" w:rsidRDefault="0010716C" w:rsidP="001C47DA">
            <w:pPr>
              <w:jc w:val="center"/>
              <w:rPr>
                <w:u w:val="single"/>
              </w:rPr>
            </w:pPr>
            <w:r w:rsidRPr="00B77AF9">
              <w:rPr>
                <w:u w:val="single"/>
              </w:rPr>
              <w:t xml:space="preserve">                                 </w:t>
            </w:r>
            <w:r w:rsidR="00AE09D3" w:rsidRPr="00B77AF9">
              <w:rPr>
                <w:u w:val="single"/>
              </w:rPr>
              <w:t>-</w:t>
            </w:r>
            <w:r w:rsidRPr="00B77AF9">
              <w:rPr>
                <w:u w:val="single"/>
              </w:rPr>
              <w:t xml:space="preserve">                                           1</w:t>
            </w:r>
          </w:p>
          <w:p w:rsidR="0010716C" w:rsidRPr="00B77AF9" w:rsidRDefault="0010716C" w:rsidP="001C47DA">
            <w:pPr>
              <w:jc w:val="center"/>
            </w:pPr>
            <w:r w:rsidRPr="00B77AF9">
              <w:t>(указывается наименование)</w:t>
            </w:r>
          </w:p>
        </w:tc>
        <w:tc>
          <w:tcPr>
            <w:tcW w:w="3444" w:type="dxa"/>
          </w:tcPr>
          <w:p w:rsidR="0010716C" w:rsidRPr="00B77AF9" w:rsidRDefault="0010716C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</w:p>
          <w:p w:rsidR="00D74E36" w:rsidRPr="00B77AF9" w:rsidRDefault="00D74E36" w:rsidP="001C47DA">
            <w:pPr>
              <w:jc w:val="center"/>
            </w:pPr>
            <w:r w:rsidRPr="00B77AF9">
              <w:t>-</w:t>
            </w:r>
          </w:p>
        </w:tc>
      </w:tr>
    </w:tbl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AF9">
        <w:rPr>
          <w:sz w:val="22"/>
          <w:szCs w:val="22"/>
          <w:vertAlign w:val="superscript"/>
        </w:rPr>
        <w:t xml:space="preserve">6 </w:t>
      </w:r>
      <w:r w:rsidRPr="00B77AF9">
        <w:rPr>
          <w:sz w:val="22"/>
          <w:szCs w:val="22"/>
        </w:rPr>
        <w:t xml:space="preserve">Указываются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AF9"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AF9"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77AF9">
        <w:rPr>
          <w:sz w:val="28"/>
          <w:szCs w:val="28"/>
        </w:rPr>
        <w:t>7. Данные об объемах привлеченного внебюджетного финансирования,</w:t>
      </w:r>
    </w:p>
    <w:p w:rsidR="0010716C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77AF9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 стратегического планирования</w:t>
      </w:r>
    </w:p>
    <w:p w:rsidR="002B5A82" w:rsidRPr="00B77AF9" w:rsidRDefault="002B5A82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7"/>
        <w:gridCol w:w="1985"/>
        <w:gridCol w:w="2126"/>
      </w:tblGrid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pPr>
              <w:jc w:val="center"/>
            </w:pPr>
            <w:r w:rsidRPr="00B77AF9">
              <w:t>№ п/п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-113" w:right="20" w:firstLine="9"/>
              <w:jc w:val="center"/>
            </w:pPr>
            <w:r w:rsidRPr="00B77AF9">
              <w:t xml:space="preserve">Наименование направления </w:t>
            </w:r>
          </w:p>
        </w:tc>
        <w:tc>
          <w:tcPr>
            <w:tcW w:w="1985" w:type="dxa"/>
          </w:tcPr>
          <w:p w:rsidR="0010716C" w:rsidRPr="00B77AF9" w:rsidRDefault="0010716C" w:rsidP="001C47DA">
            <w:pPr>
              <w:jc w:val="center"/>
            </w:pPr>
            <w:r w:rsidRPr="00B77AF9">
              <w:t>Объем внебюджетного финансирования</w:t>
            </w:r>
          </w:p>
        </w:tc>
        <w:tc>
          <w:tcPr>
            <w:tcW w:w="2126" w:type="dxa"/>
            <w:vAlign w:val="center"/>
          </w:tcPr>
          <w:p w:rsidR="0010716C" w:rsidRPr="00B77AF9" w:rsidRDefault="0010716C" w:rsidP="001C47DA">
            <w:pPr>
              <w:jc w:val="center"/>
              <w:rPr>
                <w:vertAlign w:val="superscript"/>
              </w:rPr>
            </w:pPr>
            <w:r w:rsidRPr="00B77AF9">
              <w:t>Источник информации</w:t>
            </w:r>
            <w:r w:rsidRPr="00B77AF9">
              <w:rPr>
                <w:vertAlign w:val="superscript"/>
              </w:rPr>
              <w:t>7</w:t>
            </w:r>
          </w:p>
        </w:tc>
      </w:tr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7.1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175" w:right="20" w:firstLine="1"/>
              <w:jc w:val="both"/>
            </w:pPr>
            <w:r w:rsidRPr="00B77AF9">
              <w:t xml:space="preserve">Внебюджетные средства в рамках государственных программ Российской Федерации 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10716C" w:rsidP="00066530">
            <w:pPr>
              <w:jc w:val="center"/>
            </w:pPr>
          </w:p>
          <w:p w:rsidR="00066530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7.2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175" w:right="20" w:firstLine="1"/>
              <w:jc w:val="both"/>
            </w:pPr>
            <w:r w:rsidRPr="00B77AF9"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10716C" w:rsidP="00066530">
            <w:pPr>
              <w:jc w:val="center"/>
            </w:pPr>
          </w:p>
          <w:p w:rsidR="00066530" w:rsidRPr="00B77AF9" w:rsidRDefault="00066530" w:rsidP="00066530">
            <w:pPr>
              <w:jc w:val="center"/>
            </w:pPr>
          </w:p>
          <w:p w:rsidR="00066530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7.2.1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34" w:right="20" w:firstLine="142"/>
              <w:jc w:val="both"/>
            </w:pPr>
            <w:r w:rsidRPr="00B77AF9">
              <w:t>Федеральном уровне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7.2.2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34" w:right="20" w:firstLine="142"/>
              <w:jc w:val="both"/>
            </w:pPr>
            <w:r w:rsidRPr="00B77AF9">
              <w:t>Региональном уровне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  <w:tr w:rsidR="00B77AF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7.2.3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34" w:right="20" w:firstLine="142"/>
              <w:jc w:val="both"/>
            </w:pPr>
            <w:r w:rsidRPr="00B77AF9">
              <w:t>Муниципальном уровне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  <w:tr w:rsidR="004B7309" w:rsidRPr="00B77AF9" w:rsidTr="001C47DA">
        <w:tc>
          <w:tcPr>
            <w:tcW w:w="959" w:type="dxa"/>
          </w:tcPr>
          <w:p w:rsidR="0010716C" w:rsidRPr="00B77AF9" w:rsidRDefault="0010716C" w:rsidP="001C47DA">
            <w:r w:rsidRPr="00B77AF9">
              <w:t>7.3</w:t>
            </w:r>
          </w:p>
        </w:tc>
        <w:tc>
          <w:tcPr>
            <w:tcW w:w="4677" w:type="dxa"/>
            <w:vAlign w:val="center"/>
          </w:tcPr>
          <w:p w:rsidR="0010716C" w:rsidRPr="00B77AF9" w:rsidRDefault="0010716C" w:rsidP="001C47DA">
            <w:pPr>
              <w:ind w:left="34" w:right="20" w:firstLine="142"/>
              <w:jc w:val="both"/>
              <w:rPr>
                <w:vertAlign w:val="superscript"/>
              </w:rPr>
            </w:pPr>
            <w:r w:rsidRPr="00B77AF9">
              <w:t>Внебюджетные инвестиции</w:t>
            </w:r>
            <w:r w:rsidRPr="00B77AF9">
              <w:rPr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  <w:tc>
          <w:tcPr>
            <w:tcW w:w="2126" w:type="dxa"/>
          </w:tcPr>
          <w:p w:rsidR="0010716C" w:rsidRPr="00B77AF9" w:rsidRDefault="00066530" w:rsidP="00066530">
            <w:pPr>
              <w:jc w:val="center"/>
            </w:pPr>
            <w:r w:rsidRPr="00B77AF9">
              <w:t>-</w:t>
            </w:r>
          </w:p>
        </w:tc>
      </w:tr>
    </w:tbl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AF9">
        <w:rPr>
          <w:sz w:val="22"/>
          <w:szCs w:val="22"/>
          <w:vertAlign w:val="superscript"/>
        </w:rPr>
        <w:lastRenderedPageBreak/>
        <w:t>7</w:t>
      </w:r>
      <w:r w:rsidRPr="00B77AF9">
        <w:rPr>
          <w:sz w:val="22"/>
          <w:szCs w:val="22"/>
        </w:rPr>
        <w:t xml:space="preserve"> 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10716C" w:rsidRPr="00B77AF9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AF9">
        <w:rPr>
          <w:sz w:val="22"/>
          <w:szCs w:val="22"/>
          <w:vertAlign w:val="superscript"/>
        </w:rPr>
        <w:t>8</w:t>
      </w:r>
      <w:r w:rsidRPr="00B77AF9">
        <w:rPr>
          <w:sz w:val="22"/>
          <w:szCs w:val="22"/>
        </w:rPr>
        <w:t xml:space="preserve"> 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48681F" w:rsidRPr="00B77AF9" w:rsidRDefault="0048681F" w:rsidP="00A13E87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8681F" w:rsidRPr="00B77AF9" w:rsidSect="003744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3D" w:rsidRDefault="008D393D" w:rsidP="00AD04C9">
      <w:r>
        <w:separator/>
      </w:r>
    </w:p>
  </w:endnote>
  <w:endnote w:type="continuationSeparator" w:id="0">
    <w:p w:rsidR="008D393D" w:rsidRDefault="008D393D" w:rsidP="00A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3D" w:rsidRDefault="008D393D" w:rsidP="00AD04C9">
      <w:r>
        <w:separator/>
      </w:r>
    </w:p>
  </w:footnote>
  <w:footnote w:type="continuationSeparator" w:id="0">
    <w:p w:rsidR="008D393D" w:rsidRDefault="008D393D" w:rsidP="00AD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E8" w:rsidRDefault="002A7DE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668"/>
    <w:multiLevelType w:val="hybridMultilevel"/>
    <w:tmpl w:val="659A4E7E"/>
    <w:lvl w:ilvl="0" w:tplc="0CA6A2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5655D5"/>
    <w:multiLevelType w:val="hybridMultilevel"/>
    <w:tmpl w:val="F99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9D4F32"/>
    <w:multiLevelType w:val="hybridMultilevel"/>
    <w:tmpl w:val="9508DA9C"/>
    <w:lvl w:ilvl="0" w:tplc="229625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6"/>
    <w:rsid w:val="000005B4"/>
    <w:rsid w:val="000241A9"/>
    <w:rsid w:val="00066530"/>
    <w:rsid w:val="000720BE"/>
    <w:rsid w:val="000B20D0"/>
    <w:rsid w:val="000C0683"/>
    <w:rsid w:val="000C2206"/>
    <w:rsid w:val="000C549A"/>
    <w:rsid w:val="000D295F"/>
    <w:rsid w:val="000D673B"/>
    <w:rsid w:val="000E1F17"/>
    <w:rsid w:val="000E38B3"/>
    <w:rsid w:val="000E7934"/>
    <w:rsid w:val="0010716C"/>
    <w:rsid w:val="0013377F"/>
    <w:rsid w:val="0014207A"/>
    <w:rsid w:val="00172BF8"/>
    <w:rsid w:val="001833E1"/>
    <w:rsid w:val="001B3D2A"/>
    <w:rsid w:val="001C3FEA"/>
    <w:rsid w:val="001C47DA"/>
    <w:rsid w:val="001E33D0"/>
    <w:rsid w:val="00230395"/>
    <w:rsid w:val="00263E09"/>
    <w:rsid w:val="00271CD9"/>
    <w:rsid w:val="00277384"/>
    <w:rsid w:val="0027764D"/>
    <w:rsid w:val="002A7DE8"/>
    <w:rsid w:val="002B5A82"/>
    <w:rsid w:val="002D3DA6"/>
    <w:rsid w:val="002F0B19"/>
    <w:rsid w:val="002F34BE"/>
    <w:rsid w:val="00304897"/>
    <w:rsid w:val="00304A27"/>
    <w:rsid w:val="00311CEE"/>
    <w:rsid w:val="0031268D"/>
    <w:rsid w:val="00314B71"/>
    <w:rsid w:val="00315474"/>
    <w:rsid w:val="00321EF7"/>
    <w:rsid w:val="00321EFC"/>
    <w:rsid w:val="003355ED"/>
    <w:rsid w:val="00354CC3"/>
    <w:rsid w:val="00354EEC"/>
    <w:rsid w:val="003744BF"/>
    <w:rsid w:val="003B1C37"/>
    <w:rsid w:val="003C6584"/>
    <w:rsid w:val="003F3406"/>
    <w:rsid w:val="003F4A82"/>
    <w:rsid w:val="00410100"/>
    <w:rsid w:val="004159B8"/>
    <w:rsid w:val="00431F0F"/>
    <w:rsid w:val="004340B8"/>
    <w:rsid w:val="0044365D"/>
    <w:rsid w:val="004454D9"/>
    <w:rsid w:val="0048681F"/>
    <w:rsid w:val="00491357"/>
    <w:rsid w:val="004959E6"/>
    <w:rsid w:val="004973D5"/>
    <w:rsid w:val="004A7C04"/>
    <w:rsid w:val="004B6914"/>
    <w:rsid w:val="004B7309"/>
    <w:rsid w:val="004E128B"/>
    <w:rsid w:val="004F78A7"/>
    <w:rsid w:val="00523001"/>
    <w:rsid w:val="00532534"/>
    <w:rsid w:val="005610FB"/>
    <w:rsid w:val="0057533A"/>
    <w:rsid w:val="00580353"/>
    <w:rsid w:val="00596146"/>
    <w:rsid w:val="005A1D87"/>
    <w:rsid w:val="005B42B5"/>
    <w:rsid w:val="005E317F"/>
    <w:rsid w:val="00606A6C"/>
    <w:rsid w:val="00620C65"/>
    <w:rsid w:val="00627BCB"/>
    <w:rsid w:val="00631E1C"/>
    <w:rsid w:val="0064508B"/>
    <w:rsid w:val="00647769"/>
    <w:rsid w:val="006759B5"/>
    <w:rsid w:val="00675EF7"/>
    <w:rsid w:val="006B478C"/>
    <w:rsid w:val="006B4EF1"/>
    <w:rsid w:val="006B7386"/>
    <w:rsid w:val="006C35A7"/>
    <w:rsid w:val="006E431F"/>
    <w:rsid w:val="00704FF7"/>
    <w:rsid w:val="007174AF"/>
    <w:rsid w:val="00752237"/>
    <w:rsid w:val="00767A72"/>
    <w:rsid w:val="00771535"/>
    <w:rsid w:val="00777028"/>
    <w:rsid w:val="00784EDA"/>
    <w:rsid w:val="007A1B12"/>
    <w:rsid w:val="007B478E"/>
    <w:rsid w:val="00801E71"/>
    <w:rsid w:val="0081459E"/>
    <w:rsid w:val="00843748"/>
    <w:rsid w:val="00853358"/>
    <w:rsid w:val="00857C4E"/>
    <w:rsid w:val="008833CA"/>
    <w:rsid w:val="008D393D"/>
    <w:rsid w:val="00921481"/>
    <w:rsid w:val="00942BAE"/>
    <w:rsid w:val="00966CB6"/>
    <w:rsid w:val="00983F8B"/>
    <w:rsid w:val="00997D6B"/>
    <w:rsid w:val="009D5B14"/>
    <w:rsid w:val="009F698B"/>
    <w:rsid w:val="00A118EB"/>
    <w:rsid w:val="00A13E87"/>
    <w:rsid w:val="00A672D5"/>
    <w:rsid w:val="00A73359"/>
    <w:rsid w:val="00A86D2F"/>
    <w:rsid w:val="00AA535C"/>
    <w:rsid w:val="00AD04C9"/>
    <w:rsid w:val="00AD24AE"/>
    <w:rsid w:val="00AD7348"/>
    <w:rsid w:val="00AE09D3"/>
    <w:rsid w:val="00B129F0"/>
    <w:rsid w:val="00B214B9"/>
    <w:rsid w:val="00B22BF6"/>
    <w:rsid w:val="00B674F6"/>
    <w:rsid w:val="00B77AF9"/>
    <w:rsid w:val="00BA2FF6"/>
    <w:rsid w:val="00BA5690"/>
    <w:rsid w:val="00BB2197"/>
    <w:rsid w:val="00BB2D16"/>
    <w:rsid w:val="00BC1F17"/>
    <w:rsid w:val="00BE2F13"/>
    <w:rsid w:val="00C609DB"/>
    <w:rsid w:val="00C61C86"/>
    <w:rsid w:val="00CA03F6"/>
    <w:rsid w:val="00CB227C"/>
    <w:rsid w:val="00CD478C"/>
    <w:rsid w:val="00D0091D"/>
    <w:rsid w:val="00D109A9"/>
    <w:rsid w:val="00D10A81"/>
    <w:rsid w:val="00D74E36"/>
    <w:rsid w:val="00D92ABC"/>
    <w:rsid w:val="00DB3614"/>
    <w:rsid w:val="00DE1A33"/>
    <w:rsid w:val="00E02A44"/>
    <w:rsid w:val="00E05246"/>
    <w:rsid w:val="00E05DA6"/>
    <w:rsid w:val="00E10A8E"/>
    <w:rsid w:val="00E71E08"/>
    <w:rsid w:val="00E90DAB"/>
    <w:rsid w:val="00E92AA6"/>
    <w:rsid w:val="00E934C3"/>
    <w:rsid w:val="00E936B5"/>
    <w:rsid w:val="00EB4CB9"/>
    <w:rsid w:val="00EC2E9D"/>
    <w:rsid w:val="00EF2497"/>
    <w:rsid w:val="00F00490"/>
    <w:rsid w:val="00F3522B"/>
    <w:rsid w:val="00F408B8"/>
    <w:rsid w:val="00F5574D"/>
    <w:rsid w:val="00F67952"/>
    <w:rsid w:val="00FA5A0F"/>
    <w:rsid w:val="00FA7A02"/>
    <w:rsid w:val="00FD0CAA"/>
    <w:rsid w:val="00FD1CC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7DA-2C16-40A7-AD6B-0E1A035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A535C"/>
    <w:pPr>
      <w:keepNext/>
      <w:spacing w:before="240" w:after="120" w:line="360" w:lineRule="auto"/>
      <w:jc w:val="center"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6B7386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6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D04C9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AD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unhideWhenUsed/>
    <w:rsid w:val="00AD04C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355ED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33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3355E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74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A535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uiPriority w:val="99"/>
    <w:rsid w:val="00AA535C"/>
    <w:pPr>
      <w:spacing w:before="100" w:beforeAutospacing="1" w:after="100" w:afterAutospacing="1"/>
    </w:pPr>
    <w:rPr>
      <w:color w:val="000000"/>
    </w:rPr>
  </w:style>
  <w:style w:type="character" w:customStyle="1" w:styleId="CharStyle7">
    <w:name w:val="Char Style 7"/>
    <w:link w:val="Style6"/>
    <w:uiPriority w:val="99"/>
    <w:rsid w:val="00AA535C"/>
    <w:rPr>
      <w:sz w:val="28"/>
      <w:szCs w:val="2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A53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0">
    <w:name w:val="Normal Indent"/>
    <w:basedOn w:val="a"/>
    <w:uiPriority w:val="99"/>
    <w:semiHidden/>
    <w:unhideWhenUsed/>
    <w:rsid w:val="00AA535C"/>
    <w:pPr>
      <w:ind w:left="708"/>
    </w:pPr>
  </w:style>
  <w:style w:type="character" w:customStyle="1" w:styleId="FontStyle42">
    <w:name w:val="Font Style42"/>
    <w:uiPriority w:val="99"/>
    <w:rsid w:val="00997D6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9BF0-BFA9-4246-ABF1-F0002E3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PoluninaUL</dc:creator>
  <cp:lastModifiedBy>Панца Екатерина Александровна</cp:lastModifiedBy>
  <cp:revision>2</cp:revision>
  <cp:lastPrinted>2019-06-28T13:03:00Z</cp:lastPrinted>
  <dcterms:created xsi:type="dcterms:W3CDTF">2023-11-10T09:16:00Z</dcterms:created>
  <dcterms:modified xsi:type="dcterms:W3CDTF">2023-11-10T09:16:00Z</dcterms:modified>
</cp:coreProperties>
</file>