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C4" w:rsidRPr="00520A74" w:rsidRDefault="00496CC4" w:rsidP="00496CC4">
      <w:pPr>
        <w:pStyle w:val="a4"/>
        <w:ind w:left="0"/>
        <w:jc w:val="center"/>
        <w:rPr>
          <w:b/>
          <w:sz w:val="28"/>
          <w:szCs w:val="28"/>
        </w:rPr>
      </w:pPr>
      <w:r w:rsidRPr="00520A74">
        <w:rPr>
          <w:b/>
          <w:sz w:val="28"/>
          <w:szCs w:val="28"/>
        </w:rPr>
        <w:t xml:space="preserve">Национальная стратегия действий в интересах женщин </w:t>
      </w:r>
    </w:p>
    <w:p w:rsidR="00496CC4" w:rsidRDefault="00496CC4" w:rsidP="00496CC4">
      <w:pPr>
        <w:pStyle w:val="a4"/>
        <w:ind w:left="0"/>
        <w:jc w:val="center"/>
        <w:rPr>
          <w:b/>
          <w:sz w:val="28"/>
          <w:szCs w:val="28"/>
        </w:rPr>
      </w:pPr>
      <w:r w:rsidRPr="00520A74">
        <w:rPr>
          <w:b/>
          <w:sz w:val="28"/>
          <w:szCs w:val="28"/>
        </w:rPr>
        <w:t>на 2017-2022 годы</w:t>
      </w:r>
    </w:p>
    <w:p w:rsidR="00496CC4" w:rsidRPr="00520A74" w:rsidRDefault="00496CC4" w:rsidP="00496CC4">
      <w:pPr>
        <w:pStyle w:val="a4"/>
        <w:ind w:left="0"/>
        <w:jc w:val="center"/>
        <w:rPr>
          <w:b/>
          <w:sz w:val="28"/>
          <w:szCs w:val="28"/>
        </w:rPr>
      </w:pPr>
    </w:p>
    <w:p w:rsidR="00496CC4" w:rsidRDefault="00496CC4" w:rsidP="00496CC4">
      <w:pPr>
        <w:pStyle w:val="a4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1. Общая информация об отраслевом документе стратегического планирования Российской Федерации по вопросам, находящимся в ведении Правительства Российской Федерации (далее – отраслевой документ стратегического планирования)</w:t>
      </w:r>
    </w:p>
    <w:p w:rsidR="00496CC4" w:rsidRPr="00520A74" w:rsidRDefault="00496CC4" w:rsidP="00496CC4">
      <w:pPr>
        <w:pStyle w:val="a4"/>
        <w:ind w:left="0"/>
        <w:jc w:val="center"/>
        <w:rPr>
          <w:sz w:val="28"/>
          <w:szCs w:val="28"/>
        </w:rPr>
      </w:pPr>
    </w:p>
    <w:tbl>
      <w:tblPr>
        <w:tblStyle w:val="a3"/>
        <w:tblW w:w="9879" w:type="dxa"/>
        <w:jc w:val="center"/>
        <w:tblInd w:w="558" w:type="dxa"/>
        <w:tblLook w:val="04A0"/>
      </w:tblPr>
      <w:tblGrid>
        <w:gridCol w:w="814"/>
        <w:gridCol w:w="9065"/>
      </w:tblGrid>
      <w:tr w:rsidR="00496CC4" w:rsidRPr="00520A74" w:rsidTr="00BF7B50">
        <w:trPr>
          <w:jc w:val="center"/>
        </w:trPr>
        <w:tc>
          <w:tcPr>
            <w:tcW w:w="814" w:type="dxa"/>
            <w:vAlign w:val="center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6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496CC4" w:rsidRPr="00520A74" w:rsidTr="00BF7B50">
        <w:trPr>
          <w:jc w:val="center"/>
        </w:trPr>
        <w:tc>
          <w:tcPr>
            <w:tcW w:w="814" w:type="dxa"/>
            <w:vAlign w:val="center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06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отраслевого документа стратегического планирования: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Национальная стратегия действий в интересах женщин на 2017-2022 годы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1Н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</w:tr>
      <w:tr w:rsidR="00496CC4" w:rsidRPr="00520A74" w:rsidTr="00BF7B50">
        <w:trPr>
          <w:jc w:val="center"/>
        </w:trPr>
        <w:tc>
          <w:tcPr>
            <w:tcW w:w="814" w:type="dxa"/>
            <w:vAlign w:val="center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6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Реквизиты акта, которым утвержден отраслевой документ стратегического планирования: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Распоряжение Правительства Российской Федерации от 8 марта 2017 г. № 410-р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полное название, номер и дата акта)</w:t>
            </w:r>
          </w:p>
        </w:tc>
      </w:tr>
      <w:tr w:rsidR="00496CC4" w:rsidRPr="00520A74" w:rsidTr="00BF7B50">
        <w:trPr>
          <w:jc w:val="center"/>
        </w:trPr>
        <w:tc>
          <w:tcPr>
            <w:tcW w:w="814" w:type="dxa"/>
            <w:vAlign w:val="center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06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Федеральный орган исполнительной власти (далее – разработчик):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Министерство труда и социальной защиты Российской Федерации 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(Минтруд России)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11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полное и краткое наименования)</w:t>
            </w:r>
          </w:p>
        </w:tc>
      </w:tr>
      <w:tr w:rsidR="00496CC4" w:rsidRPr="00520A74" w:rsidTr="00BF7B50">
        <w:trPr>
          <w:jc w:val="center"/>
        </w:trPr>
        <w:tc>
          <w:tcPr>
            <w:tcW w:w="814" w:type="dxa"/>
            <w:vAlign w:val="center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06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Федеральные органы исполнительной власти – соисполнители: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здравоохранения Российской Федерации (Минздрав России),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 (Минэкономразвития России),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юстиции Российской Федерации (Минюст России),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Федеральное агентство по печати и массовым коммуникациям (</w:t>
            </w:r>
            <w:proofErr w:type="spellStart"/>
            <w:r w:rsidRPr="00520A74">
              <w:rPr>
                <w:rFonts w:ascii="Times New Roman" w:hAnsi="Times New Roman" w:cs="Times New Roman"/>
              </w:rPr>
              <w:t>Роспечать</w:t>
            </w:r>
            <w:proofErr w:type="spellEnd"/>
            <w:r w:rsidRPr="00520A74">
              <w:rPr>
                <w:rFonts w:ascii="Times New Roman" w:hAnsi="Times New Roman" w:cs="Times New Roman"/>
              </w:rPr>
              <w:t>),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культуры  Российской Федерации (Минкультуры России),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520A74">
              <w:rPr>
                <w:rFonts w:ascii="Times New Roman" w:hAnsi="Times New Roman" w:cs="Times New Roman"/>
              </w:rPr>
              <w:t>Министерство внутренних дел Российской Федерации (МВД России),</w:t>
            </w:r>
            <w:r w:rsidRPr="00520A74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образования и науки Российской Федерации (</w:t>
            </w:r>
            <w:proofErr w:type="spellStart"/>
            <w:r w:rsidRPr="00520A7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20A74">
              <w:rPr>
                <w:rFonts w:ascii="Times New Roman" w:hAnsi="Times New Roman" w:cs="Times New Roman"/>
              </w:rPr>
              <w:t xml:space="preserve"> России),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Федеральная служба государственной статистики (Росстат),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0A74">
              <w:rPr>
                <w:rFonts w:ascii="Times New Roman" w:hAnsi="Times New Roman" w:cs="Times New Roman"/>
                <w:color w:val="FFFFFF" w:themeColor="background1"/>
              </w:rPr>
              <w:t>Ф(</w:t>
            </w:r>
            <w:proofErr w:type="gramEnd"/>
            <w:r w:rsidRPr="00520A74">
              <w:rPr>
                <w:rFonts w:ascii="Times New Roman" w:hAnsi="Times New Roman" w:cs="Times New Roman"/>
              </w:rPr>
              <w:t xml:space="preserve">Министерство связи и массовых коммуникаций Российской Федерации 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</w:t>
            </w:r>
            <w:proofErr w:type="spellStart"/>
            <w:r w:rsidRPr="00520A74">
              <w:rPr>
                <w:rFonts w:ascii="Times New Roman" w:hAnsi="Times New Roman" w:cs="Times New Roman"/>
              </w:rPr>
              <w:t>Минкомсвязь</w:t>
            </w:r>
            <w:proofErr w:type="spellEnd"/>
            <w:r w:rsidRPr="00520A74">
              <w:rPr>
                <w:rFonts w:ascii="Times New Roman" w:hAnsi="Times New Roman" w:cs="Times New Roman"/>
              </w:rPr>
              <w:t xml:space="preserve"> России),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спорта Российской Федерации (</w:t>
            </w:r>
            <w:proofErr w:type="spellStart"/>
            <w:r w:rsidRPr="00520A74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520A74">
              <w:rPr>
                <w:rFonts w:ascii="Times New Roman" w:hAnsi="Times New Roman" w:cs="Times New Roman"/>
              </w:rPr>
              <w:t xml:space="preserve"> России),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финансов Российской Федерации (Минфин России),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Федеральная служба исполнения наказаний (ФСИН России)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полное и краткое наименования)</w:t>
            </w:r>
          </w:p>
        </w:tc>
      </w:tr>
      <w:tr w:rsidR="00496CC4" w:rsidRPr="00520A74" w:rsidTr="00BF7B50">
        <w:trPr>
          <w:jc w:val="center"/>
        </w:trPr>
        <w:tc>
          <w:tcPr>
            <w:tcW w:w="814" w:type="dxa"/>
            <w:vAlign w:val="center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06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Отчетный год, за который представляется доклад о реализации отраслевого документа стратегического планирования: 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-2018</w:t>
            </w:r>
          </w:p>
        </w:tc>
      </w:tr>
    </w:tbl>
    <w:p w:rsidR="00496CC4" w:rsidRPr="00894DFF" w:rsidRDefault="00496CC4" w:rsidP="00496CC4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C4" w:rsidRDefault="00496CC4" w:rsidP="00496CC4">
      <w:pPr>
        <w:pStyle w:val="a4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2. Аналитическая справка о реализации отраслевого документа стратегического планирования</w:t>
      </w:r>
    </w:p>
    <w:p w:rsidR="00496CC4" w:rsidRPr="00520A74" w:rsidRDefault="00496CC4" w:rsidP="00496CC4">
      <w:pPr>
        <w:pStyle w:val="a4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1126"/>
        <w:gridCol w:w="8797"/>
      </w:tblGrid>
      <w:tr w:rsidR="00496CC4" w:rsidRPr="00520A74" w:rsidTr="00BF7B50">
        <w:tc>
          <w:tcPr>
            <w:tcW w:w="1126" w:type="dxa"/>
            <w:vAlign w:val="center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97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496CC4" w:rsidRPr="00520A74" w:rsidTr="00BF7B50">
        <w:tc>
          <w:tcPr>
            <w:tcW w:w="1126" w:type="dxa"/>
          </w:tcPr>
          <w:p w:rsidR="00496CC4" w:rsidRPr="00520A74" w:rsidRDefault="00496CC4" w:rsidP="00BF7B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97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Описание динамики показателей отраслевого документа стратегического планирования, отраженных в пункте 5 настоящей формы: </w:t>
            </w:r>
          </w:p>
          <w:p w:rsidR="00496CC4" w:rsidRPr="00520A74" w:rsidRDefault="00496CC4" w:rsidP="00BF7B50">
            <w:pPr>
              <w:ind w:firstLine="709"/>
              <w:rPr>
                <w:rFonts w:ascii="Times New Roman" w:hAnsi="Times New Roman" w:cs="Times New Roman"/>
                <w:szCs w:val="28"/>
              </w:rPr>
            </w:pPr>
            <w:r w:rsidRPr="00520A74">
              <w:rPr>
                <w:rFonts w:ascii="Times New Roman" w:hAnsi="Times New Roman" w:cs="Times New Roman"/>
              </w:rPr>
              <w:t xml:space="preserve">Стратегия реализуется в два этапа. В 2018 г. – реализация </w:t>
            </w:r>
            <w:r w:rsidRPr="00520A74">
              <w:rPr>
                <w:rFonts w:ascii="Times New Roman" w:hAnsi="Times New Roman" w:cs="Times New Roman"/>
                <w:szCs w:val="28"/>
              </w:rPr>
              <w:t>Плана мероприятий по реализации Стратегии, включающего комплекс мероприятий, направленных на реализацию основных задач государственной политики по улучшению положения женщин;</w:t>
            </w:r>
          </w:p>
          <w:p w:rsidR="00496CC4" w:rsidRPr="00520A74" w:rsidRDefault="00496CC4" w:rsidP="00BF7B50">
            <w:pPr>
              <w:ind w:firstLine="709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520A74">
              <w:rPr>
                <w:rFonts w:ascii="Times New Roman" w:hAnsi="Times New Roman" w:cs="Times New Roman"/>
                <w:szCs w:val="28"/>
              </w:rPr>
              <w:t xml:space="preserve">План мероприятий на 2019-2022 годы, направленный на формирование системы </w:t>
            </w:r>
            <w:r w:rsidRPr="00520A74">
              <w:rPr>
                <w:rFonts w:ascii="Times New Roman" w:hAnsi="Times New Roman" w:cs="Times New Roman"/>
                <w:szCs w:val="28"/>
              </w:rPr>
              <w:lastRenderedPageBreak/>
              <w:t>мер, обеспечивающих реализацию принципа равных прав и свобод мужчины и женщины и создание равных возможностей для их реализации женщинами во всех сферах жизни, повышение экономической независимости, политической активности и возможностей самореализации женщин, а также преодоление стереотипных представлений о социальных ролях мужчины и женщины.</w:t>
            </w:r>
            <w:proofErr w:type="gramEnd"/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(представляются описания изменений показателей)</w:t>
            </w:r>
          </w:p>
        </w:tc>
      </w:tr>
      <w:tr w:rsidR="00496CC4" w:rsidRPr="00520A74" w:rsidTr="00BF7B50">
        <w:tc>
          <w:tcPr>
            <w:tcW w:w="1126" w:type="dxa"/>
          </w:tcPr>
          <w:p w:rsidR="00496CC4" w:rsidRPr="00520A74" w:rsidRDefault="00496CC4" w:rsidP="00BF7B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8797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Оценка эффективности действующих мер государственного регулирования</w:t>
            </w:r>
            <w:r w:rsidRPr="00520A74">
              <w:rPr>
                <w:rFonts w:ascii="Times New Roman" w:hAnsi="Times New Roman" w:cs="Times New Roman"/>
              </w:rPr>
              <w:br/>
              <w:t>в описываемой сфере или отрасли экономики</w:t>
            </w:r>
            <w:proofErr w:type="gramStart"/>
            <w:r w:rsidRPr="00520A7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520A74">
              <w:rPr>
                <w:rFonts w:ascii="Times New Roman" w:hAnsi="Times New Roman" w:cs="Times New Roman"/>
              </w:rPr>
              <w:t>:</w:t>
            </w:r>
          </w:p>
          <w:p w:rsidR="00496CC4" w:rsidRPr="00520A74" w:rsidRDefault="00496CC4" w:rsidP="00BF7B50">
            <w:pPr>
              <w:ind w:firstLine="709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мер с характеристикой их влияния)</w:t>
            </w:r>
          </w:p>
        </w:tc>
      </w:tr>
      <w:tr w:rsidR="00496CC4" w:rsidRPr="00520A74" w:rsidTr="00BF7B50">
        <w:tc>
          <w:tcPr>
            <w:tcW w:w="1126" w:type="dxa"/>
          </w:tcPr>
          <w:p w:rsidR="00496CC4" w:rsidRPr="00520A74" w:rsidRDefault="00496CC4" w:rsidP="00BF7B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97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</w:rPr>
              <w:t>Доклад в Правительство Российской Федерации о реализации плана мероприятий в 2018 году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(представляется перечень мероприятий с указанием достигнутых результатов</w:t>
            </w:r>
            <w:r w:rsidRPr="00520A74">
              <w:rPr>
                <w:rFonts w:ascii="Times New Roman" w:hAnsi="Times New Roman" w:cs="Times New Roman"/>
              </w:rPr>
              <w:br/>
              <w:t xml:space="preserve">«мероприятие </w:t>
            </w:r>
            <w:proofErr w:type="gramStart"/>
            <w:r w:rsidRPr="00520A74">
              <w:rPr>
                <w:rFonts w:ascii="Times New Roman" w:hAnsi="Times New Roman" w:cs="Times New Roman"/>
              </w:rPr>
              <w:t>выполнено</w:t>
            </w:r>
            <w:proofErr w:type="gramEnd"/>
            <w:r w:rsidRPr="00520A74">
              <w:rPr>
                <w:rFonts w:ascii="Times New Roman" w:hAnsi="Times New Roman" w:cs="Times New Roman"/>
              </w:rPr>
              <w:t>/не выполнено/частично выполнено»)</w:t>
            </w:r>
          </w:p>
        </w:tc>
      </w:tr>
    </w:tbl>
    <w:p w:rsidR="00496CC4" w:rsidRPr="00520A74" w:rsidRDefault="00496CC4" w:rsidP="00496CC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</w:p>
    <w:p w:rsidR="00496CC4" w:rsidRPr="00520A74" w:rsidRDefault="00496CC4" w:rsidP="00496CC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0A74">
        <w:rPr>
          <w:rFonts w:ascii="Times New Roman" w:hAnsi="Times New Roman" w:cs="Times New Roman"/>
          <w:vertAlign w:val="superscript"/>
        </w:rPr>
        <w:t>1</w:t>
      </w:r>
      <w:proofErr w:type="gramStart"/>
      <w:r w:rsidRPr="00520A74">
        <w:rPr>
          <w:rFonts w:ascii="Times New Roman" w:hAnsi="Times New Roman" w:cs="Times New Roman"/>
        </w:rPr>
        <w:t xml:space="preserve"> Д</w:t>
      </w:r>
      <w:proofErr w:type="gramEnd"/>
      <w:r w:rsidRPr="00520A74">
        <w:rPr>
          <w:rFonts w:ascii="Times New Roman" w:hAnsi="Times New Roman" w:cs="Times New Roman"/>
        </w:rPr>
        <w:t>ается оценка достаточности и эффективности регулирующих соответствующую сферу</w:t>
      </w:r>
      <w:r w:rsidRPr="00520A74">
        <w:rPr>
          <w:rFonts w:ascii="Times New Roman" w:hAnsi="Times New Roman" w:cs="Times New Roman"/>
        </w:rPr>
        <w:br/>
        <w:t xml:space="preserve">или отрасль экономики нормативных правовых актов и международных соглашений. </w:t>
      </w:r>
    </w:p>
    <w:p w:rsidR="00496CC4" w:rsidRPr="00520A74" w:rsidRDefault="00496CC4" w:rsidP="00496CC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</w:rPr>
        <w:t>В отношении мер, оказавших значимое положительное влияние на сферу или отрасль экономики в целом, приводится описание их влияния.</w:t>
      </w:r>
    </w:p>
    <w:p w:rsidR="00496CC4" w:rsidRPr="00520A74" w:rsidRDefault="00496CC4" w:rsidP="00496CC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</w:rPr>
        <w:t xml:space="preserve">При выявлении мер, оказавших значимое отрицательное влияние на сферу или отрасль экономики в целом, приводится описание этого влияния, при этом в пункте 3.2 настоящей формы указываются предложения по его предотвращению в дальнейшем. </w:t>
      </w:r>
    </w:p>
    <w:p w:rsidR="00496CC4" w:rsidRPr="00520A74" w:rsidRDefault="00496CC4" w:rsidP="00670F45">
      <w:pPr>
        <w:pStyle w:val="a4"/>
        <w:ind w:left="0"/>
        <w:rPr>
          <w:sz w:val="28"/>
          <w:szCs w:val="28"/>
        </w:rPr>
      </w:pPr>
    </w:p>
    <w:p w:rsidR="00496CC4" w:rsidRDefault="00496CC4" w:rsidP="00496CC4">
      <w:pPr>
        <w:pStyle w:val="a4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3. Анализ факторов, повлиявших на ход реализации отраслевого документа стратегического планирования</w:t>
      </w:r>
    </w:p>
    <w:p w:rsidR="00496CC4" w:rsidRPr="00520A74" w:rsidRDefault="00496CC4" w:rsidP="00496CC4">
      <w:pPr>
        <w:pStyle w:val="a4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1126"/>
        <w:gridCol w:w="8797"/>
      </w:tblGrid>
      <w:tr w:rsidR="00496CC4" w:rsidRPr="00520A74" w:rsidTr="00BF7B50">
        <w:tc>
          <w:tcPr>
            <w:tcW w:w="1126" w:type="dxa"/>
            <w:vAlign w:val="center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97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496CC4" w:rsidRPr="00520A74" w:rsidTr="00BF7B50">
        <w:tc>
          <w:tcPr>
            <w:tcW w:w="1126" w:type="dxa"/>
          </w:tcPr>
          <w:p w:rsidR="00496CC4" w:rsidRPr="00520A74" w:rsidRDefault="00496CC4" w:rsidP="00BF7B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97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Факторы, повлекшие полное или частичное неисполнение мероприятий</w:t>
            </w:r>
            <w:r w:rsidRPr="00520A74">
              <w:rPr>
                <w:rFonts w:ascii="Times New Roman" w:hAnsi="Times New Roman" w:cs="Times New Roman"/>
              </w:rPr>
              <w:br/>
              <w:t xml:space="preserve">и (или) </w:t>
            </w:r>
            <w:proofErr w:type="spellStart"/>
            <w:r w:rsidRPr="00520A74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520A74">
              <w:rPr>
                <w:rFonts w:ascii="Times New Roman" w:hAnsi="Times New Roman" w:cs="Times New Roman"/>
              </w:rPr>
              <w:t xml:space="preserve"> целевых показателей (при наличии):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факторов)</w:t>
            </w:r>
          </w:p>
        </w:tc>
      </w:tr>
      <w:tr w:rsidR="00496CC4" w:rsidRPr="00520A74" w:rsidTr="00BF7B50">
        <w:tc>
          <w:tcPr>
            <w:tcW w:w="1126" w:type="dxa"/>
          </w:tcPr>
          <w:p w:rsidR="00496CC4" w:rsidRPr="00520A74" w:rsidRDefault="00496CC4" w:rsidP="00BF7B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97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Предложения по совершенствованию мер государственного регулирования в рассматриваемой отрасли: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мероприятий)</w:t>
            </w:r>
          </w:p>
        </w:tc>
      </w:tr>
    </w:tbl>
    <w:p w:rsidR="00496CC4" w:rsidRPr="00520A74" w:rsidRDefault="00496CC4" w:rsidP="00496CC4">
      <w:pPr>
        <w:pStyle w:val="a4"/>
        <w:ind w:left="0"/>
        <w:jc w:val="center"/>
        <w:rPr>
          <w:sz w:val="28"/>
          <w:szCs w:val="28"/>
        </w:rPr>
      </w:pPr>
    </w:p>
    <w:p w:rsidR="00496CC4" w:rsidRPr="00520A74" w:rsidRDefault="00496CC4" w:rsidP="00496CC4">
      <w:pPr>
        <w:pStyle w:val="a4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4. Предложения о необходимости корректировки отраслевого документа стратегического планирования</w:t>
      </w:r>
    </w:p>
    <w:p w:rsidR="00496CC4" w:rsidRPr="00520A74" w:rsidRDefault="00496CC4" w:rsidP="00496CC4">
      <w:pPr>
        <w:pStyle w:val="a4"/>
        <w:ind w:left="0"/>
        <w:jc w:val="center"/>
        <w:rPr>
          <w:sz w:val="28"/>
          <w:szCs w:val="28"/>
        </w:rPr>
      </w:pPr>
    </w:p>
    <w:p w:rsidR="00496CC4" w:rsidRDefault="00496CC4" w:rsidP="00496CC4">
      <w:pPr>
        <w:pStyle w:val="a4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Стратегия не требует корректировки</w:t>
      </w:r>
    </w:p>
    <w:p w:rsidR="00496CC4" w:rsidRPr="00520A74" w:rsidRDefault="00496CC4" w:rsidP="00496CC4">
      <w:pPr>
        <w:pStyle w:val="a4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988"/>
        <w:gridCol w:w="8935"/>
      </w:tblGrid>
      <w:tr w:rsidR="00496CC4" w:rsidRPr="00520A74" w:rsidTr="00BF7B50">
        <w:tc>
          <w:tcPr>
            <w:tcW w:w="988" w:type="dxa"/>
            <w:vAlign w:val="center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3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496CC4" w:rsidRPr="00520A74" w:rsidTr="00BF7B50">
        <w:tc>
          <w:tcPr>
            <w:tcW w:w="988" w:type="dxa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93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Перечень факторов, последствия которых окажут значительное влияние на сферы или отрасли экономики</w:t>
            </w:r>
            <w:r w:rsidRPr="00520A74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  <w:r w:rsidRPr="00520A74">
              <w:rPr>
                <w:rFonts w:ascii="Times New Roman" w:hAnsi="Times New Roman" w:cs="Times New Roman"/>
              </w:rPr>
              <w:t>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факторов с характеристикой их влияния)</w:t>
            </w:r>
          </w:p>
        </w:tc>
      </w:tr>
      <w:tr w:rsidR="00496CC4" w:rsidRPr="00520A74" w:rsidTr="00BF7B50">
        <w:tc>
          <w:tcPr>
            <w:tcW w:w="988" w:type="dxa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93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Предложения по корректировке содержания отраслевого документа стратегического планирования (при необходимости):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предложения по корректировке и/или уточнению)</w:t>
            </w:r>
          </w:p>
        </w:tc>
      </w:tr>
      <w:tr w:rsidR="00496CC4" w:rsidRPr="00520A74" w:rsidTr="00BF7B50">
        <w:tc>
          <w:tcPr>
            <w:tcW w:w="988" w:type="dxa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893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Предложения по корректировке мероприятий отраслевого документа стратегического планирования (при необходимости):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  <w:proofErr w:type="spellEnd"/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предложения по корректировке и/или уточнению)</w:t>
            </w:r>
          </w:p>
        </w:tc>
      </w:tr>
      <w:tr w:rsidR="00496CC4" w:rsidRPr="00520A74" w:rsidTr="00BF7B50">
        <w:tc>
          <w:tcPr>
            <w:tcW w:w="988" w:type="dxa"/>
          </w:tcPr>
          <w:p w:rsidR="00496CC4" w:rsidRPr="00520A74" w:rsidRDefault="00496CC4" w:rsidP="00BF7B50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93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Предложения по корректировке показателей отраслевого документа стратегического планирования и (или) их значений (при необходимости):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  <w:proofErr w:type="spellEnd"/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предложения по корректировке и (или) уточнению)</w:t>
            </w:r>
          </w:p>
        </w:tc>
      </w:tr>
    </w:tbl>
    <w:p w:rsidR="00496CC4" w:rsidRPr="00520A74" w:rsidRDefault="00496CC4" w:rsidP="00496CC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496CC4" w:rsidRPr="00520A74" w:rsidRDefault="00496CC4" w:rsidP="00496CC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2</w:t>
      </w:r>
      <w:proofErr w:type="gramStart"/>
      <w:r w:rsidRPr="00520A74">
        <w:rPr>
          <w:sz w:val="22"/>
          <w:szCs w:val="22"/>
        </w:rPr>
        <w:t xml:space="preserve"> У</w:t>
      </w:r>
      <w:proofErr w:type="gramEnd"/>
      <w:r w:rsidRPr="00520A74">
        <w:rPr>
          <w:sz w:val="22"/>
          <w:szCs w:val="22"/>
        </w:rPr>
        <w:t>казываются факторы, последствия которых окажут негативное или позитивное влияние</w:t>
      </w:r>
      <w:r w:rsidRPr="00520A74">
        <w:rPr>
          <w:sz w:val="22"/>
          <w:szCs w:val="22"/>
        </w:rPr>
        <w:br/>
        <w:t>на сферу или отрасль экономики, с характеристикой их влияния. В качестве характеристики влияния фактора указывается «негативное/позитивное».</w:t>
      </w:r>
    </w:p>
    <w:p w:rsidR="00496CC4" w:rsidRPr="00520A74" w:rsidRDefault="00496CC4" w:rsidP="00496CC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496CC4" w:rsidRPr="00520A74" w:rsidRDefault="00496CC4" w:rsidP="00496CC4">
      <w:pPr>
        <w:spacing w:line="240" w:lineRule="auto"/>
        <w:ind w:right="47"/>
        <w:jc w:val="center"/>
        <w:rPr>
          <w:rFonts w:ascii="Times New Roman" w:hAnsi="Times New Roman" w:cs="Times New Roman"/>
          <w:sz w:val="28"/>
          <w:szCs w:val="28"/>
        </w:rPr>
      </w:pPr>
      <w:r w:rsidRPr="00520A74">
        <w:rPr>
          <w:rFonts w:ascii="Times New Roman" w:hAnsi="Times New Roman" w:cs="Times New Roman"/>
          <w:sz w:val="28"/>
          <w:szCs w:val="28"/>
        </w:rPr>
        <w:t xml:space="preserve">5. Сведения о достижении целевых значений показателей за отчетный период </w:t>
      </w:r>
    </w:p>
    <w:p w:rsidR="00496CC4" w:rsidRPr="00520A74" w:rsidRDefault="00496CC4" w:rsidP="00496CC4">
      <w:pPr>
        <w:spacing w:line="240" w:lineRule="auto"/>
        <w:ind w:right="47"/>
        <w:jc w:val="center"/>
        <w:rPr>
          <w:rFonts w:ascii="Times New Roman" w:hAnsi="Times New Roman" w:cs="Times New Roman"/>
          <w:sz w:val="28"/>
          <w:szCs w:val="28"/>
        </w:rPr>
      </w:pPr>
      <w:r w:rsidRPr="00520A74">
        <w:rPr>
          <w:rFonts w:ascii="Times New Roman" w:hAnsi="Times New Roman" w:cs="Times New Roman"/>
          <w:sz w:val="28"/>
          <w:szCs w:val="28"/>
        </w:rPr>
        <w:t>Целевых показателей в Стратегии не содержится.</w:t>
      </w:r>
    </w:p>
    <w:tbl>
      <w:tblPr>
        <w:tblStyle w:val="a3"/>
        <w:tblW w:w="9849" w:type="dxa"/>
        <w:jc w:val="center"/>
        <w:tblInd w:w="-74" w:type="dxa"/>
        <w:tblLook w:val="04A0"/>
      </w:tblPr>
      <w:tblGrid>
        <w:gridCol w:w="614"/>
        <w:gridCol w:w="3703"/>
        <w:gridCol w:w="1583"/>
        <w:gridCol w:w="979"/>
        <w:gridCol w:w="993"/>
        <w:gridCol w:w="1977"/>
      </w:tblGrid>
      <w:tr w:rsidR="00496CC4" w:rsidRPr="00520A74" w:rsidTr="00BF7B50">
        <w:trPr>
          <w:trHeight w:val="232"/>
          <w:jc w:val="center"/>
        </w:trPr>
        <w:tc>
          <w:tcPr>
            <w:tcW w:w="614" w:type="dxa"/>
            <w:vMerge w:val="restart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r w:rsidRPr="00520A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3" w:type="dxa"/>
            <w:vMerge w:val="restart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Показатели отрасли/сферы</w:t>
            </w:r>
            <w:r w:rsidRPr="00520A7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83" w:type="dxa"/>
            <w:vMerge w:val="restart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Предыдущий год </w:t>
            </w:r>
          </w:p>
        </w:tc>
        <w:tc>
          <w:tcPr>
            <w:tcW w:w="1972" w:type="dxa"/>
            <w:gridSpan w:val="2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977" w:type="dxa"/>
            <w:vMerge w:val="restart"/>
            <w:vAlign w:val="center"/>
          </w:tcPr>
          <w:p w:rsidR="00496CC4" w:rsidRPr="00520A74" w:rsidRDefault="00496CC4" w:rsidP="00BF7B50">
            <w:pPr>
              <w:ind w:right="4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0A74">
              <w:rPr>
                <w:rFonts w:ascii="Times New Roman" w:hAnsi="Times New Roman" w:cs="Times New Roman"/>
              </w:rPr>
              <w:t>Характеристика показателя</w:t>
            </w:r>
            <w:r w:rsidRPr="00520A7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496CC4" w:rsidRPr="00520A74" w:rsidTr="00BF7B50">
        <w:trPr>
          <w:trHeight w:val="231"/>
          <w:jc w:val="center"/>
        </w:trPr>
        <w:tc>
          <w:tcPr>
            <w:tcW w:w="614" w:type="dxa"/>
            <w:vMerge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0A74">
              <w:rPr>
                <w:rFonts w:ascii="Times New Roman" w:hAnsi="Times New Roman" w:cs="Times New Roman"/>
              </w:rPr>
              <w:t>План</w:t>
            </w:r>
            <w:proofErr w:type="gramStart"/>
            <w:r w:rsidRPr="00520A74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77" w:type="dxa"/>
            <w:vMerge/>
            <w:vAlign w:val="center"/>
          </w:tcPr>
          <w:p w:rsidR="00496CC4" w:rsidRPr="00520A74" w:rsidRDefault="00496CC4" w:rsidP="00BF7B50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C4" w:rsidRPr="00520A74" w:rsidTr="00BF7B50">
        <w:trPr>
          <w:jc w:val="center"/>
        </w:trPr>
        <w:tc>
          <w:tcPr>
            <w:tcW w:w="614" w:type="dxa"/>
          </w:tcPr>
          <w:p w:rsidR="00496CC4" w:rsidRPr="005320F0" w:rsidRDefault="00496CC4" w:rsidP="00BF7B50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5.1</w:t>
            </w:r>
          </w:p>
        </w:tc>
        <w:tc>
          <w:tcPr>
            <w:tcW w:w="3703" w:type="dxa"/>
          </w:tcPr>
          <w:p w:rsidR="00496CC4" w:rsidRPr="005320F0" w:rsidRDefault="00496CC4" w:rsidP="00BF7B5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5320F0">
              <w:rPr>
                <w:sz w:val="22"/>
                <w:szCs w:val="22"/>
              </w:rPr>
              <w:t>Основные показатели сферы/отрасли экономики (например, выпуск и потребление товаров, работ, услуг; инвестиции; цены/тарифы на товары, работы, услуги)</w:t>
            </w:r>
            <w:proofErr w:type="gramEnd"/>
          </w:p>
        </w:tc>
        <w:tc>
          <w:tcPr>
            <w:tcW w:w="1583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vAlign w:val="center"/>
          </w:tcPr>
          <w:p w:rsidR="00496CC4" w:rsidRPr="00520A74" w:rsidRDefault="00496CC4" w:rsidP="00BF7B50">
            <w:pPr>
              <w:pStyle w:val="a4"/>
              <w:ind w:left="0"/>
            </w:pPr>
            <w:r>
              <w:rPr>
                <w:noProof/>
              </w:rPr>
              <w:pict>
                <v:oval id="_x0000_s1026" style="position:absolute;margin-left:36.75pt;margin-top:4.55pt;width:15.75pt;height:15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" fillcolor="white [3212]" strokecolor="black [3213]">
                  <v:shadow on="t" color="black" opacity="22937f" origin=",.5" offset="0,.63889mm"/>
                  <v:path arrowok="t"/>
                  <v:textbox>
                    <w:txbxContent>
                      <w:p w:rsidR="00496CC4" w:rsidRDefault="00496CC4" w:rsidP="00496CC4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oval>
              </w:pict>
            </w:r>
          </w:p>
        </w:tc>
      </w:tr>
      <w:tr w:rsidR="00496CC4" w:rsidRPr="00520A74" w:rsidTr="00BF7B50">
        <w:trPr>
          <w:jc w:val="center"/>
        </w:trPr>
        <w:tc>
          <w:tcPr>
            <w:tcW w:w="614" w:type="dxa"/>
          </w:tcPr>
          <w:p w:rsidR="00496CC4" w:rsidRPr="005320F0" w:rsidRDefault="00496CC4" w:rsidP="00BF7B50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5.2</w:t>
            </w:r>
          </w:p>
        </w:tc>
        <w:tc>
          <w:tcPr>
            <w:tcW w:w="3703" w:type="dxa"/>
          </w:tcPr>
          <w:p w:rsidR="00496CC4" w:rsidRPr="005320F0" w:rsidRDefault="00496CC4" w:rsidP="00BF7B5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Динамика показателей, характеризующих место сферы/отрасли экономики России в мире (например, объемы выпуска товаров, работ, услуг в целом по миру; доля товаров, работ, услуг российского происхождения в мировом объеме)</w:t>
            </w:r>
          </w:p>
        </w:tc>
        <w:tc>
          <w:tcPr>
            <w:tcW w:w="1583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vAlign w:val="center"/>
          </w:tcPr>
          <w:p w:rsidR="00496CC4" w:rsidRPr="00520A74" w:rsidRDefault="00496CC4" w:rsidP="00BF7B50">
            <w:pPr>
              <w:pStyle w:val="a4"/>
              <w:ind w:left="0"/>
              <w:jc w:val="center"/>
            </w:pPr>
            <w:r>
              <w:t>-</w:t>
            </w:r>
          </w:p>
        </w:tc>
      </w:tr>
      <w:tr w:rsidR="00496CC4" w:rsidRPr="00520A74" w:rsidTr="00BF7B50">
        <w:trPr>
          <w:jc w:val="center"/>
        </w:trPr>
        <w:tc>
          <w:tcPr>
            <w:tcW w:w="614" w:type="dxa"/>
          </w:tcPr>
          <w:p w:rsidR="00496CC4" w:rsidRPr="005320F0" w:rsidRDefault="00496CC4" w:rsidP="00BF7B50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5.3</w:t>
            </w:r>
          </w:p>
        </w:tc>
        <w:tc>
          <w:tcPr>
            <w:tcW w:w="3703" w:type="dxa"/>
          </w:tcPr>
          <w:p w:rsidR="00496CC4" w:rsidRPr="005320F0" w:rsidRDefault="00496CC4" w:rsidP="00BF7B5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Показатели финансового состояния сферы/отрасли экономики (например, прибыль/убыток, рентабельность отрасли/сектора)</w:t>
            </w:r>
          </w:p>
        </w:tc>
        <w:tc>
          <w:tcPr>
            <w:tcW w:w="1583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vAlign w:val="center"/>
          </w:tcPr>
          <w:p w:rsidR="00496CC4" w:rsidRPr="00520A74" w:rsidRDefault="00496CC4" w:rsidP="00BF7B50">
            <w:pPr>
              <w:pStyle w:val="a4"/>
              <w:ind w:left="0"/>
              <w:jc w:val="center"/>
            </w:pPr>
            <w:r>
              <w:t>-</w:t>
            </w:r>
          </w:p>
        </w:tc>
      </w:tr>
      <w:tr w:rsidR="00496CC4" w:rsidRPr="00520A74" w:rsidTr="00BF7B50">
        <w:trPr>
          <w:jc w:val="center"/>
        </w:trPr>
        <w:tc>
          <w:tcPr>
            <w:tcW w:w="614" w:type="dxa"/>
          </w:tcPr>
          <w:p w:rsidR="00496CC4" w:rsidRPr="005320F0" w:rsidRDefault="00496CC4" w:rsidP="00BF7B50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5.4</w:t>
            </w:r>
          </w:p>
        </w:tc>
        <w:tc>
          <w:tcPr>
            <w:tcW w:w="3703" w:type="dxa"/>
          </w:tcPr>
          <w:p w:rsidR="00496CC4" w:rsidRPr="005320F0" w:rsidRDefault="00496CC4" w:rsidP="00BF7B5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5320F0">
              <w:rPr>
                <w:sz w:val="22"/>
                <w:szCs w:val="22"/>
              </w:rPr>
              <w:t>Показатели, характеризующие технологическое развитие сферы/отрасли экономики (например, объем инновационных товаров, работ, услуг, их удельный вес в общем объеме товаров, работ, услуг; производительность труда; экологические показатели сферы/отрасли экономики – объемы выбросов загрязнений, объемы отходов)</w:t>
            </w:r>
            <w:proofErr w:type="gramEnd"/>
          </w:p>
        </w:tc>
        <w:tc>
          <w:tcPr>
            <w:tcW w:w="1583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6CC4" w:rsidRPr="005320F0" w:rsidRDefault="00496CC4" w:rsidP="00BF7B5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vAlign w:val="center"/>
          </w:tcPr>
          <w:p w:rsidR="00496CC4" w:rsidRPr="00520A74" w:rsidRDefault="00496CC4" w:rsidP="00BF7B50">
            <w:pPr>
              <w:pStyle w:val="a4"/>
              <w:ind w:left="0"/>
              <w:jc w:val="center"/>
            </w:pPr>
            <w:r>
              <w:t>-</w:t>
            </w:r>
          </w:p>
        </w:tc>
      </w:tr>
    </w:tbl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3</w:t>
      </w:r>
      <w:proofErr w:type="gramStart"/>
      <w:r w:rsidRPr="00520A74">
        <w:rPr>
          <w:sz w:val="22"/>
          <w:szCs w:val="22"/>
        </w:rPr>
        <w:t xml:space="preserve">  К</w:t>
      </w:r>
      <w:proofErr w:type="gramEnd"/>
      <w:r w:rsidRPr="00520A74">
        <w:rPr>
          <w:sz w:val="22"/>
          <w:szCs w:val="22"/>
        </w:rPr>
        <w:t>аждый показатель указывается в отдельной строке.</w:t>
      </w: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4</w:t>
      </w:r>
      <w:proofErr w:type="gramStart"/>
      <w:r w:rsidRPr="00520A74">
        <w:rPr>
          <w:sz w:val="22"/>
          <w:szCs w:val="22"/>
        </w:rPr>
        <w:t xml:space="preserve"> П</w:t>
      </w:r>
      <w:proofErr w:type="gramEnd"/>
      <w:r w:rsidRPr="00520A74">
        <w:rPr>
          <w:sz w:val="22"/>
          <w:szCs w:val="22"/>
        </w:rPr>
        <w:t>ри наличии утвержденного планового значения показателя на отчетный год в отраслевом документе стратегического планирования.</w:t>
      </w: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lastRenderedPageBreak/>
        <w:t>5</w:t>
      </w:r>
      <w:proofErr w:type="gramStart"/>
      <w:r w:rsidRPr="00520A74">
        <w:rPr>
          <w:sz w:val="22"/>
          <w:szCs w:val="22"/>
        </w:rPr>
        <w:t xml:space="preserve"> З</w:t>
      </w:r>
      <w:proofErr w:type="gramEnd"/>
      <w:r w:rsidRPr="00520A74">
        <w:rPr>
          <w:sz w:val="22"/>
          <w:szCs w:val="22"/>
        </w:rPr>
        <w:t xml:space="preserve">аполняется в соответствии с динамикой относительно предыдущего года (с точки зрения достижения целевого значения показателя): </w:t>
      </w:r>
    </w:p>
    <w:p w:rsidR="00496CC4" w:rsidRPr="00520A74" w:rsidRDefault="00496CC4" w:rsidP="00496CC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321A22">
        <w:rPr>
          <w:noProof/>
        </w:rPr>
        <w:pict>
          <v:oval id="_x0000_s1027" style="position:absolute;left:0;text-align:left;margin-left:18.9pt;margin-top:2.55pt;width:10.7pt;height:1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" fillcolor="white [3212]" strokecolor="black [3213]">
            <v:shadow on="t" color="black" opacity="22937f" origin=",.5" offset="0,.63889mm"/>
            <v:path arrowok="t"/>
          </v:oval>
        </w:pict>
      </w:r>
      <w:r w:rsidRPr="00520A74">
        <w:rPr>
          <w:noProof/>
          <w:sz w:val="22"/>
          <w:szCs w:val="22"/>
        </w:rPr>
        <w:t>улучшение ситуации в отрасли по сравнению с</w:t>
      </w:r>
      <w:r w:rsidRPr="00520A74">
        <w:rPr>
          <w:sz w:val="22"/>
          <w:szCs w:val="22"/>
        </w:rPr>
        <w:t xml:space="preserve"> предыдущим годом;</w:t>
      </w:r>
    </w:p>
    <w:p w:rsidR="00496CC4" w:rsidRPr="00520A74" w:rsidRDefault="00496CC4" w:rsidP="00496CC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321A22">
        <w:rPr>
          <w:noProof/>
        </w:rPr>
        <w:pict>
          <v:oval id="_x0000_s1028" style="position:absolute;left:0;text-align:left;margin-left:18.8pt;margin-top:2.1pt;width:10.7pt;height:1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" fillcolor="black [3213]" strokecolor="black [3213]">
            <v:fill r:id="rId5" o:title="" color2="white [3212]" type="pattern"/>
            <v:shadow on="t" color="black" opacity="22936f" origin=",.5" offset="0,.63889mm"/>
          </v:oval>
        </w:pict>
      </w:r>
      <w:r w:rsidRPr="00520A74">
        <w:rPr>
          <w:sz w:val="22"/>
          <w:szCs w:val="22"/>
        </w:rPr>
        <w:t xml:space="preserve">ситуация не изменилась; </w:t>
      </w:r>
    </w:p>
    <w:p w:rsidR="00496CC4" w:rsidRPr="00520A74" w:rsidRDefault="00496CC4" w:rsidP="00496CC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29" style="position:absolute;left:0;text-align:left;margin-left:18.3pt;margin-top:2.05pt;width:10.7pt;height:1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" fillcolor="black [3213]" strokecolor="black [3213]">
            <v:shadow on="t" color="black" opacity="22937f" origin=",.5" offset="0,.63889mm"/>
            <v:path arrowok="t"/>
          </v:oval>
        </w:pict>
      </w:r>
      <w:r w:rsidRPr="00520A74">
        <w:rPr>
          <w:noProof/>
          <w:sz w:val="22"/>
          <w:szCs w:val="22"/>
        </w:rPr>
        <w:t>ухудшение ситуации по сравнению с</w:t>
      </w:r>
      <w:r w:rsidRPr="00520A74">
        <w:rPr>
          <w:sz w:val="22"/>
          <w:szCs w:val="22"/>
        </w:rPr>
        <w:t xml:space="preserve"> предыдущим годом.</w:t>
      </w: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6. Данные об использованных бюджетных ассигнованиях на реализацию мероприятий государственных программ Российской Федерации, обеспечивающих реализацию отраслевого документа стратегического планирования</w:t>
      </w: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96CC4" w:rsidRPr="00683F4D" w:rsidRDefault="00496CC4" w:rsidP="00496C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A74">
        <w:rPr>
          <w:rFonts w:ascii="Times New Roman" w:hAnsi="Times New Roman" w:cs="Times New Roman"/>
          <w:sz w:val="28"/>
          <w:szCs w:val="28"/>
        </w:rPr>
        <w:t>Ресурсное обеспечение реализации Стратегии осуществляется в рамках мероприятий, предусмотренных государственными программами Российской Федерации в сферах здравоохранения,  образования, развития экономики и промышленности, содействия занятости населения, социальной поддержки граждан, социальной защиты инвалидов, физической культуры и спорта, информационных технологий, культуры и туризма, обеспечения общественного порядка.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277"/>
        <w:gridCol w:w="5244"/>
        <w:gridCol w:w="3402"/>
      </w:tblGrid>
      <w:tr w:rsidR="00496CC4" w:rsidRPr="00520A74" w:rsidTr="00BF7B50">
        <w:tc>
          <w:tcPr>
            <w:tcW w:w="1277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  <w:vAlign w:val="center"/>
          </w:tcPr>
          <w:p w:rsidR="00496CC4" w:rsidRPr="00520A74" w:rsidRDefault="00496CC4" w:rsidP="00BF7B50">
            <w:pPr>
              <w:ind w:left="-113" w:right="20" w:firstLine="9"/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государственной программы Российской Федерации (госпрограммы), федеральной целевой программы (ФЦП) либо</w:t>
            </w:r>
            <w:r w:rsidRPr="00520A74">
              <w:rPr>
                <w:rFonts w:ascii="Times New Roman" w:hAnsi="Times New Roman" w:cs="Times New Roman"/>
              </w:rPr>
              <w:br/>
              <w:t>их составляющих</w:t>
            </w:r>
            <w:proofErr w:type="gramStart"/>
            <w:r w:rsidRPr="00520A74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  <w:tc>
          <w:tcPr>
            <w:tcW w:w="3402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Объем бюджетных ассигнований, выделенных</w:t>
            </w:r>
            <w:r w:rsidRPr="00520A74">
              <w:rPr>
                <w:rFonts w:ascii="Times New Roman" w:hAnsi="Times New Roman" w:cs="Times New Roman"/>
              </w:rPr>
              <w:br/>
              <w:t>в отчетном году на реализацию отраслевого документа стратегического планирования</w:t>
            </w:r>
          </w:p>
        </w:tc>
      </w:tr>
      <w:tr w:rsidR="00496CC4" w:rsidRPr="00520A74" w:rsidTr="00BF7B50">
        <w:tc>
          <w:tcPr>
            <w:tcW w:w="1277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496CC4" w:rsidRPr="00520A74" w:rsidRDefault="00496CC4" w:rsidP="00BF7B50">
            <w:pPr>
              <w:ind w:left="-113" w:right="20" w:firstLine="9"/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3</w:t>
            </w:r>
          </w:p>
        </w:tc>
      </w:tr>
      <w:tr w:rsidR="00496CC4" w:rsidRPr="00520A74" w:rsidTr="00BF7B50">
        <w:tc>
          <w:tcPr>
            <w:tcW w:w="1277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44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госпрограммы: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  <w:tc>
          <w:tcPr>
            <w:tcW w:w="3402" w:type="dxa"/>
            <w:vAlign w:val="center"/>
          </w:tcPr>
          <w:p w:rsidR="00496CC4" w:rsidRPr="00520A74" w:rsidRDefault="00496CC4" w:rsidP="00BF7B50">
            <w:pPr>
              <w:pStyle w:val="a4"/>
              <w:ind w:left="0"/>
              <w:jc w:val="center"/>
            </w:pPr>
            <w:r>
              <w:t>-</w:t>
            </w:r>
          </w:p>
        </w:tc>
      </w:tr>
      <w:tr w:rsidR="00496CC4" w:rsidRPr="00520A74" w:rsidTr="00BF7B50">
        <w:tc>
          <w:tcPr>
            <w:tcW w:w="1277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44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подпрограммы/ФЦП госпрограммы: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  <w:tc>
          <w:tcPr>
            <w:tcW w:w="3402" w:type="dxa"/>
            <w:vAlign w:val="center"/>
          </w:tcPr>
          <w:p w:rsidR="00496CC4" w:rsidRPr="00520A74" w:rsidRDefault="00496CC4" w:rsidP="00BF7B50">
            <w:pPr>
              <w:pStyle w:val="a4"/>
              <w:ind w:left="0"/>
              <w:jc w:val="center"/>
            </w:pPr>
            <w:r>
              <w:t>-</w:t>
            </w:r>
          </w:p>
        </w:tc>
      </w:tr>
      <w:tr w:rsidR="00496CC4" w:rsidRPr="00520A74" w:rsidTr="00BF7B50">
        <w:tc>
          <w:tcPr>
            <w:tcW w:w="1277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6.1.1.1</w:t>
            </w:r>
          </w:p>
        </w:tc>
        <w:tc>
          <w:tcPr>
            <w:tcW w:w="5244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основного мероприятия подпрограммы госпрограммы/мероприятия в рамках ФЦП: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  <w:tc>
          <w:tcPr>
            <w:tcW w:w="3402" w:type="dxa"/>
            <w:vAlign w:val="center"/>
          </w:tcPr>
          <w:p w:rsidR="00496CC4" w:rsidRPr="00520A74" w:rsidRDefault="00496CC4" w:rsidP="00BF7B50">
            <w:pPr>
              <w:pStyle w:val="a4"/>
              <w:ind w:left="0"/>
              <w:jc w:val="center"/>
            </w:pPr>
            <w:r>
              <w:t>-</w:t>
            </w:r>
          </w:p>
        </w:tc>
      </w:tr>
      <w:tr w:rsidR="00496CC4" w:rsidRPr="00520A74" w:rsidTr="00BF7B50">
        <w:tc>
          <w:tcPr>
            <w:tcW w:w="1277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4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02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6</w:t>
      </w:r>
      <w:proofErr w:type="gramStart"/>
      <w:r w:rsidRPr="00520A74">
        <w:rPr>
          <w:sz w:val="22"/>
          <w:szCs w:val="22"/>
          <w:vertAlign w:val="superscript"/>
        </w:rPr>
        <w:t xml:space="preserve"> </w:t>
      </w:r>
      <w:r w:rsidRPr="00520A74">
        <w:rPr>
          <w:sz w:val="22"/>
          <w:szCs w:val="22"/>
        </w:rPr>
        <w:t>У</w:t>
      </w:r>
      <w:proofErr w:type="gramEnd"/>
      <w:r w:rsidRPr="00520A74">
        <w:rPr>
          <w:sz w:val="22"/>
          <w:szCs w:val="22"/>
        </w:rPr>
        <w:t xml:space="preserve">казываются все госпрограммы, механизмы которых используются для реализации отраслевого документа стратегического планирования. </w:t>
      </w: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</w:rPr>
        <w:t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При этом в столбце 3 указывается общий объем средств федерального бюджета в рамках госпрограммы.</w:t>
      </w: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столбце 3 приводится соответствующий объем бюджетных ассигнований. </w:t>
      </w:r>
    </w:p>
    <w:p w:rsidR="00496CC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70F45" w:rsidRDefault="00670F45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70F45" w:rsidRDefault="00670F45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70F45" w:rsidRPr="00520A74" w:rsidRDefault="00670F45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lastRenderedPageBreak/>
        <w:t>7. Данные об объемах привлеченного внебюджетного финансирования,</w:t>
      </w:r>
    </w:p>
    <w:p w:rsidR="00496CC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в том числе на принципах государственно-частного партнерства, в рамках реализации отраслевого документа стратегического планирования</w:t>
      </w: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135"/>
        <w:gridCol w:w="4677"/>
        <w:gridCol w:w="1985"/>
        <w:gridCol w:w="2126"/>
      </w:tblGrid>
      <w:tr w:rsidR="00496CC4" w:rsidRPr="00520A74" w:rsidTr="00BF7B50">
        <w:tc>
          <w:tcPr>
            <w:tcW w:w="1135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496CC4" w:rsidRPr="00520A74" w:rsidRDefault="00496CC4" w:rsidP="00BF7B50">
            <w:pPr>
              <w:ind w:left="-113" w:right="20" w:firstLine="9"/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Наименование направления </w:t>
            </w:r>
          </w:p>
        </w:tc>
        <w:tc>
          <w:tcPr>
            <w:tcW w:w="1985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Объем внебюджетного финансирования</w:t>
            </w:r>
          </w:p>
        </w:tc>
        <w:tc>
          <w:tcPr>
            <w:tcW w:w="2126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0A74">
              <w:rPr>
                <w:rFonts w:ascii="Times New Roman" w:hAnsi="Times New Roman" w:cs="Times New Roman"/>
              </w:rPr>
              <w:t>Источник информации</w:t>
            </w:r>
            <w:proofErr w:type="gramStart"/>
            <w:r w:rsidRPr="00520A74"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</w:tr>
      <w:tr w:rsidR="00496CC4" w:rsidRPr="00520A74" w:rsidTr="00BF7B50">
        <w:tc>
          <w:tcPr>
            <w:tcW w:w="1135" w:type="dxa"/>
          </w:tcPr>
          <w:p w:rsidR="00496CC4" w:rsidRPr="00520A74" w:rsidRDefault="00496CC4" w:rsidP="00BF7B50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677" w:type="dxa"/>
            <w:vAlign w:val="center"/>
          </w:tcPr>
          <w:p w:rsidR="00496CC4" w:rsidRPr="00520A74" w:rsidRDefault="00496CC4" w:rsidP="00BF7B50">
            <w:pPr>
              <w:ind w:left="175" w:right="20" w:firstLine="1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Внебюджетные средства в рамках государственных программ Российской Федерации </w:t>
            </w:r>
          </w:p>
        </w:tc>
        <w:tc>
          <w:tcPr>
            <w:tcW w:w="198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96CC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CC4" w:rsidRPr="00520A74" w:rsidTr="00BF7B50">
        <w:tc>
          <w:tcPr>
            <w:tcW w:w="1135" w:type="dxa"/>
          </w:tcPr>
          <w:p w:rsidR="00496CC4" w:rsidRPr="00520A74" w:rsidRDefault="00496CC4" w:rsidP="00BF7B50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677" w:type="dxa"/>
            <w:vAlign w:val="center"/>
          </w:tcPr>
          <w:p w:rsidR="00496CC4" w:rsidRPr="00520A74" w:rsidRDefault="00496CC4" w:rsidP="00BF7B50">
            <w:pPr>
              <w:ind w:left="175" w:right="20" w:firstLine="1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Внебюджетные средства в рамках механизма государственно-частного партнерства, в том числе в разрезе проектов, реализуемых </w:t>
            </w:r>
            <w:proofErr w:type="gramStart"/>
            <w:r w:rsidRPr="00520A74">
              <w:rPr>
                <w:rFonts w:ascii="Times New Roman" w:hAnsi="Times New Roman" w:cs="Times New Roman"/>
              </w:rPr>
              <w:t>на</w:t>
            </w:r>
            <w:proofErr w:type="gramEnd"/>
            <w:r w:rsidRPr="00520A7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96CC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</w:p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CC4" w:rsidRPr="00520A74" w:rsidTr="00BF7B50">
        <w:tc>
          <w:tcPr>
            <w:tcW w:w="1135" w:type="dxa"/>
          </w:tcPr>
          <w:p w:rsidR="00496CC4" w:rsidRPr="00520A74" w:rsidRDefault="00496CC4" w:rsidP="00BF7B50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4677" w:type="dxa"/>
            <w:vAlign w:val="center"/>
          </w:tcPr>
          <w:p w:rsidR="00496CC4" w:rsidRPr="00520A74" w:rsidRDefault="00496CC4" w:rsidP="00BF7B50">
            <w:pPr>
              <w:ind w:left="34" w:right="20" w:firstLine="142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Федеральном </w:t>
            </w:r>
            <w:proofErr w:type="gramStart"/>
            <w:r w:rsidRPr="00520A74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98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CC4" w:rsidRPr="00520A74" w:rsidTr="00BF7B50">
        <w:tc>
          <w:tcPr>
            <w:tcW w:w="1135" w:type="dxa"/>
          </w:tcPr>
          <w:p w:rsidR="00496CC4" w:rsidRPr="00520A74" w:rsidRDefault="00496CC4" w:rsidP="00BF7B50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4677" w:type="dxa"/>
            <w:vAlign w:val="center"/>
          </w:tcPr>
          <w:p w:rsidR="00496CC4" w:rsidRPr="00520A74" w:rsidRDefault="00496CC4" w:rsidP="00BF7B50">
            <w:pPr>
              <w:ind w:left="34" w:right="20" w:firstLine="142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Региональном </w:t>
            </w:r>
            <w:proofErr w:type="gramStart"/>
            <w:r w:rsidRPr="00520A74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98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CC4" w:rsidRPr="00520A74" w:rsidTr="00BF7B50">
        <w:tc>
          <w:tcPr>
            <w:tcW w:w="1135" w:type="dxa"/>
          </w:tcPr>
          <w:p w:rsidR="00496CC4" w:rsidRPr="00520A74" w:rsidRDefault="00496CC4" w:rsidP="00BF7B50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4677" w:type="dxa"/>
            <w:vAlign w:val="center"/>
          </w:tcPr>
          <w:p w:rsidR="00496CC4" w:rsidRPr="00520A74" w:rsidRDefault="00496CC4" w:rsidP="00BF7B50">
            <w:pPr>
              <w:ind w:left="34" w:right="20" w:firstLine="142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520A74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98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CC4" w:rsidRPr="00520A74" w:rsidTr="00BF7B50">
        <w:tc>
          <w:tcPr>
            <w:tcW w:w="1135" w:type="dxa"/>
          </w:tcPr>
          <w:p w:rsidR="00496CC4" w:rsidRPr="00520A74" w:rsidRDefault="00496CC4" w:rsidP="00BF7B50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677" w:type="dxa"/>
            <w:vAlign w:val="center"/>
          </w:tcPr>
          <w:p w:rsidR="00496CC4" w:rsidRPr="00520A74" w:rsidRDefault="00496CC4" w:rsidP="00BF7B50">
            <w:pPr>
              <w:ind w:left="34" w:right="20" w:firstLine="142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20A74">
              <w:rPr>
                <w:rFonts w:ascii="Times New Roman" w:hAnsi="Times New Roman" w:cs="Times New Roman"/>
              </w:rPr>
              <w:t>Внебюджетные инвестиции</w:t>
            </w:r>
            <w:r w:rsidRPr="00520A7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985" w:type="dxa"/>
            <w:vAlign w:val="center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96CC4" w:rsidRPr="00520A74" w:rsidRDefault="00496CC4" w:rsidP="00BF7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7</w:t>
      </w:r>
      <w:proofErr w:type="gramStart"/>
      <w:r w:rsidRPr="00520A74">
        <w:rPr>
          <w:sz w:val="22"/>
          <w:szCs w:val="22"/>
        </w:rPr>
        <w:t xml:space="preserve"> В</w:t>
      </w:r>
      <w:proofErr w:type="gramEnd"/>
      <w:r w:rsidRPr="00520A74">
        <w:rPr>
          <w:sz w:val="22"/>
          <w:szCs w:val="22"/>
        </w:rPr>
        <w:t xml:space="preserve">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 </w:t>
      </w:r>
    </w:p>
    <w:p w:rsidR="00496CC4" w:rsidRPr="00520A74" w:rsidRDefault="00496CC4" w:rsidP="00496CC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8</w:t>
      </w:r>
      <w:proofErr w:type="gramStart"/>
      <w:r w:rsidRPr="00520A74">
        <w:rPr>
          <w:sz w:val="22"/>
          <w:szCs w:val="22"/>
        </w:rPr>
        <w:t xml:space="preserve"> К</w:t>
      </w:r>
      <w:proofErr w:type="gramEnd"/>
      <w:r w:rsidRPr="00520A74">
        <w:rPr>
          <w:sz w:val="22"/>
          <w:szCs w:val="22"/>
        </w:rPr>
        <w:t xml:space="preserve">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p w:rsidR="00681E06" w:rsidRDefault="00681E06"/>
    <w:sectPr w:rsidR="00681E06" w:rsidSect="0068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2B3"/>
    <w:multiLevelType w:val="hybridMultilevel"/>
    <w:tmpl w:val="9B34ACEC"/>
    <w:lvl w:ilvl="0" w:tplc="807216F2">
      <w:numFmt w:val="bullet"/>
      <w:lvlText w:val="˗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CC4"/>
    <w:rsid w:val="00496CC4"/>
    <w:rsid w:val="00670F45"/>
    <w:rsid w:val="00681E06"/>
    <w:rsid w:val="00A4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96C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96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RakshenkoIA</dc:creator>
  <cp:lastModifiedBy>RakshenkoIA</cp:lastModifiedBy>
  <cp:revision>2</cp:revision>
  <dcterms:created xsi:type="dcterms:W3CDTF">2019-07-02T12:25:00Z</dcterms:created>
  <dcterms:modified xsi:type="dcterms:W3CDTF">2019-07-02T12:26:00Z</dcterms:modified>
</cp:coreProperties>
</file>