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9D" w:rsidRPr="0092238A" w:rsidRDefault="006C3F9D" w:rsidP="00962B51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92238A">
        <w:rPr>
          <w:b/>
          <w:sz w:val="28"/>
          <w:szCs w:val="28"/>
        </w:rPr>
        <w:t>П</w:t>
      </w:r>
      <w:proofErr w:type="gramEnd"/>
      <w:r w:rsidR="00C72553" w:rsidRPr="0092238A">
        <w:rPr>
          <w:b/>
          <w:sz w:val="28"/>
          <w:szCs w:val="28"/>
        </w:rPr>
        <w:t xml:space="preserve"> </w:t>
      </w:r>
      <w:r w:rsidRPr="0092238A">
        <w:rPr>
          <w:b/>
          <w:sz w:val="28"/>
          <w:szCs w:val="28"/>
        </w:rPr>
        <w:t>Р</w:t>
      </w:r>
      <w:r w:rsidR="00C72553" w:rsidRPr="0092238A">
        <w:rPr>
          <w:b/>
          <w:sz w:val="28"/>
          <w:szCs w:val="28"/>
        </w:rPr>
        <w:t xml:space="preserve"> </w:t>
      </w:r>
      <w:r w:rsidRPr="0092238A">
        <w:rPr>
          <w:b/>
          <w:sz w:val="28"/>
          <w:szCs w:val="28"/>
        </w:rPr>
        <w:t>О</w:t>
      </w:r>
      <w:r w:rsidR="00C72553" w:rsidRPr="0092238A">
        <w:rPr>
          <w:b/>
          <w:sz w:val="28"/>
          <w:szCs w:val="28"/>
        </w:rPr>
        <w:t xml:space="preserve"> </w:t>
      </w:r>
      <w:r w:rsidRPr="0092238A">
        <w:rPr>
          <w:b/>
          <w:sz w:val="28"/>
          <w:szCs w:val="28"/>
        </w:rPr>
        <w:t>Т</w:t>
      </w:r>
      <w:r w:rsidR="00C72553" w:rsidRPr="0092238A">
        <w:rPr>
          <w:b/>
          <w:sz w:val="28"/>
          <w:szCs w:val="28"/>
        </w:rPr>
        <w:t xml:space="preserve"> </w:t>
      </w:r>
      <w:r w:rsidRPr="0092238A">
        <w:rPr>
          <w:b/>
          <w:sz w:val="28"/>
          <w:szCs w:val="28"/>
        </w:rPr>
        <w:t>О</w:t>
      </w:r>
      <w:r w:rsidR="00C72553" w:rsidRPr="0092238A">
        <w:rPr>
          <w:b/>
          <w:sz w:val="28"/>
          <w:szCs w:val="28"/>
        </w:rPr>
        <w:t xml:space="preserve"> </w:t>
      </w:r>
      <w:r w:rsidRPr="0092238A">
        <w:rPr>
          <w:b/>
          <w:sz w:val="28"/>
          <w:szCs w:val="28"/>
        </w:rPr>
        <w:t>К</w:t>
      </w:r>
      <w:r w:rsidR="00C72553" w:rsidRPr="0092238A">
        <w:rPr>
          <w:b/>
          <w:sz w:val="28"/>
          <w:szCs w:val="28"/>
        </w:rPr>
        <w:t xml:space="preserve"> </w:t>
      </w:r>
      <w:r w:rsidRPr="0092238A">
        <w:rPr>
          <w:b/>
          <w:sz w:val="28"/>
          <w:szCs w:val="28"/>
        </w:rPr>
        <w:t>О</w:t>
      </w:r>
      <w:r w:rsidR="00C72553" w:rsidRPr="0092238A">
        <w:rPr>
          <w:b/>
          <w:sz w:val="28"/>
          <w:szCs w:val="28"/>
        </w:rPr>
        <w:t xml:space="preserve"> </w:t>
      </w:r>
      <w:r w:rsidRPr="0092238A">
        <w:rPr>
          <w:b/>
          <w:sz w:val="28"/>
          <w:szCs w:val="28"/>
        </w:rPr>
        <w:t xml:space="preserve">Л </w:t>
      </w:r>
    </w:p>
    <w:p w:rsidR="00962B51" w:rsidRPr="0092238A" w:rsidRDefault="00962B51" w:rsidP="00962B51">
      <w:pPr>
        <w:spacing w:line="240" w:lineRule="atLeast"/>
        <w:jc w:val="center"/>
        <w:rPr>
          <w:b/>
          <w:sz w:val="28"/>
          <w:szCs w:val="28"/>
        </w:rPr>
      </w:pPr>
    </w:p>
    <w:p w:rsidR="0099386B" w:rsidRPr="0092238A" w:rsidRDefault="0099386B" w:rsidP="0099386B">
      <w:pPr>
        <w:spacing w:line="240" w:lineRule="atLeast"/>
        <w:jc w:val="center"/>
        <w:rPr>
          <w:b/>
          <w:bCs/>
          <w:sz w:val="28"/>
          <w:szCs w:val="28"/>
        </w:rPr>
      </w:pPr>
      <w:r w:rsidRPr="0092238A">
        <w:rPr>
          <w:b/>
          <w:sz w:val="28"/>
          <w:szCs w:val="28"/>
        </w:rPr>
        <w:t xml:space="preserve">заочного заседания </w:t>
      </w:r>
      <w:r w:rsidRPr="0092238A">
        <w:rPr>
          <w:b/>
          <w:bCs/>
          <w:sz w:val="28"/>
          <w:szCs w:val="28"/>
        </w:rPr>
        <w:t>Межведомственной комисси</w:t>
      </w:r>
      <w:r w:rsidR="008760DA" w:rsidRPr="0092238A">
        <w:rPr>
          <w:b/>
          <w:bCs/>
          <w:sz w:val="28"/>
          <w:szCs w:val="28"/>
        </w:rPr>
        <w:t>и</w:t>
      </w:r>
      <w:r w:rsidRPr="0092238A">
        <w:rPr>
          <w:b/>
          <w:bCs/>
          <w:sz w:val="28"/>
          <w:szCs w:val="28"/>
        </w:rPr>
        <w:t xml:space="preserve"> по согласованию региональных </w:t>
      </w:r>
      <w:proofErr w:type="gramStart"/>
      <w:r w:rsidRPr="0092238A">
        <w:rPr>
          <w:b/>
          <w:bCs/>
          <w:sz w:val="28"/>
          <w:szCs w:val="28"/>
        </w:rPr>
        <w:t>программ повышения мобильности трудовых ресурсов субъектов Российской</w:t>
      </w:r>
      <w:proofErr w:type="gramEnd"/>
      <w:r w:rsidRPr="0092238A">
        <w:rPr>
          <w:b/>
          <w:bCs/>
          <w:sz w:val="28"/>
          <w:szCs w:val="28"/>
        </w:rPr>
        <w:t xml:space="preserve"> Федерации, включенных в перечень субъектов Российской Федерации, привлечение трудовых ресурсов в которые является приоритетным</w:t>
      </w:r>
    </w:p>
    <w:p w:rsidR="00962B51" w:rsidRPr="0092238A" w:rsidRDefault="00962B51" w:rsidP="00D3175A">
      <w:pPr>
        <w:jc w:val="both"/>
        <w:rPr>
          <w:sz w:val="28"/>
          <w:szCs w:val="28"/>
        </w:rPr>
      </w:pPr>
      <w:r w:rsidRPr="0092238A">
        <w:rPr>
          <w:sz w:val="28"/>
          <w:szCs w:val="28"/>
        </w:rPr>
        <w:t>_____________________________________________________________________</w:t>
      </w:r>
    </w:p>
    <w:p w:rsidR="00962B51" w:rsidRPr="0092238A" w:rsidRDefault="00962B51" w:rsidP="00962B51">
      <w:pPr>
        <w:spacing w:line="240" w:lineRule="exact"/>
        <w:jc w:val="right"/>
        <w:rPr>
          <w:b/>
          <w:sz w:val="28"/>
          <w:szCs w:val="28"/>
          <w:u w:val="single"/>
        </w:rPr>
      </w:pPr>
    </w:p>
    <w:p w:rsidR="00962B51" w:rsidRPr="0092238A" w:rsidRDefault="00962B51" w:rsidP="00962B51">
      <w:pPr>
        <w:spacing w:line="240" w:lineRule="exact"/>
        <w:jc w:val="right"/>
        <w:rPr>
          <w:b/>
          <w:sz w:val="28"/>
          <w:szCs w:val="28"/>
          <w:u w:val="single"/>
        </w:rPr>
      </w:pPr>
      <w:r w:rsidRPr="0092238A">
        <w:rPr>
          <w:b/>
          <w:sz w:val="28"/>
          <w:szCs w:val="28"/>
          <w:u w:val="single"/>
        </w:rPr>
        <w:t xml:space="preserve">от </w:t>
      </w:r>
      <w:r w:rsidR="00A81C91">
        <w:rPr>
          <w:b/>
          <w:sz w:val="28"/>
          <w:szCs w:val="28"/>
          <w:u w:val="single"/>
        </w:rPr>
        <w:t>24</w:t>
      </w:r>
      <w:r w:rsidR="0092238A">
        <w:rPr>
          <w:b/>
          <w:sz w:val="28"/>
          <w:szCs w:val="28"/>
          <w:u w:val="single"/>
        </w:rPr>
        <w:t xml:space="preserve"> </w:t>
      </w:r>
      <w:r w:rsidRPr="0092238A">
        <w:rPr>
          <w:b/>
          <w:sz w:val="28"/>
          <w:szCs w:val="28"/>
          <w:u w:val="single"/>
        </w:rPr>
        <w:t> </w:t>
      </w:r>
      <w:r w:rsidR="00505858" w:rsidRPr="0092238A">
        <w:rPr>
          <w:b/>
          <w:sz w:val="28"/>
          <w:szCs w:val="28"/>
          <w:u w:val="single"/>
        </w:rPr>
        <w:t>апреля</w:t>
      </w:r>
      <w:r w:rsidRPr="0092238A">
        <w:rPr>
          <w:b/>
          <w:sz w:val="28"/>
          <w:szCs w:val="28"/>
          <w:u w:val="single"/>
        </w:rPr>
        <w:t xml:space="preserve"> 20</w:t>
      </w:r>
      <w:r w:rsidR="00505858" w:rsidRPr="0092238A">
        <w:rPr>
          <w:b/>
          <w:sz w:val="28"/>
          <w:szCs w:val="28"/>
          <w:u w:val="single"/>
        </w:rPr>
        <w:t>20</w:t>
      </w:r>
      <w:r w:rsidRPr="0092238A">
        <w:rPr>
          <w:b/>
          <w:sz w:val="28"/>
          <w:szCs w:val="28"/>
          <w:u w:val="single"/>
        </w:rPr>
        <w:t> г. № </w:t>
      </w:r>
      <w:r w:rsidR="00505858" w:rsidRPr="0092238A">
        <w:rPr>
          <w:b/>
          <w:sz w:val="28"/>
          <w:szCs w:val="28"/>
          <w:u w:val="single"/>
        </w:rPr>
        <w:t>10</w:t>
      </w:r>
    </w:p>
    <w:p w:rsidR="00575259" w:rsidRPr="0092238A" w:rsidRDefault="00575259" w:rsidP="00962B51">
      <w:pPr>
        <w:jc w:val="center"/>
        <w:rPr>
          <w:sz w:val="28"/>
          <w:szCs w:val="28"/>
        </w:rPr>
      </w:pPr>
    </w:p>
    <w:p w:rsidR="00840F38" w:rsidRPr="0092238A" w:rsidRDefault="006C3F9D" w:rsidP="00962B51">
      <w:pPr>
        <w:jc w:val="center"/>
        <w:rPr>
          <w:sz w:val="28"/>
          <w:szCs w:val="28"/>
        </w:rPr>
      </w:pPr>
      <w:r w:rsidRPr="0092238A">
        <w:rPr>
          <w:sz w:val="28"/>
          <w:szCs w:val="28"/>
        </w:rPr>
        <w:t xml:space="preserve">О </w:t>
      </w:r>
      <w:r w:rsidR="00505858" w:rsidRPr="0092238A">
        <w:rPr>
          <w:sz w:val="28"/>
          <w:szCs w:val="28"/>
        </w:rPr>
        <w:t>региональных программах повышения мобильности трудовых ресурсов</w:t>
      </w:r>
    </w:p>
    <w:p w:rsidR="008760DA" w:rsidRPr="0092238A" w:rsidRDefault="008760DA" w:rsidP="00543EC7">
      <w:pPr>
        <w:spacing w:line="264" w:lineRule="auto"/>
        <w:ind w:firstLine="709"/>
        <w:jc w:val="both"/>
        <w:rPr>
          <w:sz w:val="28"/>
          <w:szCs w:val="28"/>
        </w:rPr>
      </w:pPr>
    </w:p>
    <w:p w:rsidR="00DF03BC" w:rsidRPr="0092238A" w:rsidRDefault="007C183C" w:rsidP="00DF03BC">
      <w:pPr>
        <w:ind w:firstLine="709"/>
        <w:jc w:val="both"/>
        <w:rPr>
          <w:sz w:val="28"/>
          <w:szCs w:val="20"/>
        </w:rPr>
      </w:pPr>
      <w:r w:rsidRPr="0092238A">
        <w:rPr>
          <w:sz w:val="28"/>
          <w:szCs w:val="28"/>
        </w:rPr>
        <w:t xml:space="preserve">1. </w:t>
      </w:r>
      <w:r w:rsidR="0099386B" w:rsidRPr="0092238A">
        <w:rPr>
          <w:sz w:val="28"/>
          <w:szCs w:val="28"/>
        </w:rPr>
        <w:t>Принять к сведению информацию</w:t>
      </w:r>
      <w:r w:rsidR="00505858" w:rsidRPr="0092238A">
        <w:rPr>
          <w:sz w:val="28"/>
          <w:szCs w:val="28"/>
        </w:rPr>
        <w:t xml:space="preserve"> о результатах отбора проектов ре</w:t>
      </w:r>
      <w:r w:rsidR="0099386B" w:rsidRPr="0092238A">
        <w:rPr>
          <w:sz w:val="28"/>
          <w:szCs w:val="28"/>
        </w:rPr>
        <w:t xml:space="preserve">гиональных программ повышения мобильности трудовых ресурсов </w:t>
      </w:r>
      <w:r w:rsidR="004B4F22" w:rsidRPr="0092238A">
        <w:rPr>
          <w:sz w:val="28"/>
          <w:szCs w:val="28"/>
        </w:rPr>
        <w:t xml:space="preserve">(далее – региональные программы) </w:t>
      </w:r>
      <w:r w:rsidR="00DF03BC" w:rsidRPr="0092238A">
        <w:rPr>
          <w:sz w:val="28"/>
          <w:szCs w:val="20"/>
        </w:rPr>
        <w:t xml:space="preserve">рабочей группой Межведомственной комиссии по согласованию  региональных </w:t>
      </w:r>
      <w:proofErr w:type="gramStart"/>
      <w:r w:rsidR="00DF03BC" w:rsidRPr="0092238A">
        <w:rPr>
          <w:sz w:val="28"/>
          <w:szCs w:val="20"/>
        </w:rPr>
        <w:t xml:space="preserve">программ повышения мобильности трудовых ресурсов </w:t>
      </w:r>
      <w:r w:rsidR="00DF03BC" w:rsidRPr="0092238A">
        <w:rPr>
          <w:sz w:val="28"/>
          <w:szCs w:val="28"/>
        </w:rPr>
        <w:t>субъектов Российской</w:t>
      </w:r>
      <w:proofErr w:type="gramEnd"/>
      <w:r w:rsidR="00DF03BC" w:rsidRPr="0092238A">
        <w:rPr>
          <w:sz w:val="28"/>
          <w:szCs w:val="28"/>
        </w:rPr>
        <w:t xml:space="preserve"> Федерации</w:t>
      </w:r>
      <w:r w:rsidR="00DF03BC" w:rsidRPr="0092238A">
        <w:rPr>
          <w:sz w:val="28"/>
          <w:szCs w:val="20"/>
        </w:rPr>
        <w:t>, включенных в перечень субъектов Российской Федерации, привлечение трудовых ресурсов в которые является приоритетным.</w:t>
      </w:r>
    </w:p>
    <w:p w:rsidR="0099386B" w:rsidRPr="0092238A" w:rsidRDefault="00DF03BC" w:rsidP="00CB51EB">
      <w:pPr>
        <w:spacing w:line="264" w:lineRule="auto"/>
        <w:ind w:firstLine="709"/>
        <w:jc w:val="both"/>
        <w:rPr>
          <w:sz w:val="28"/>
          <w:szCs w:val="28"/>
        </w:rPr>
      </w:pPr>
      <w:r w:rsidRPr="0092238A">
        <w:rPr>
          <w:sz w:val="28"/>
          <w:szCs w:val="28"/>
        </w:rPr>
        <w:t xml:space="preserve">2. </w:t>
      </w:r>
      <w:proofErr w:type="gramStart"/>
      <w:r w:rsidRPr="0092238A">
        <w:rPr>
          <w:sz w:val="28"/>
          <w:szCs w:val="28"/>
        </w:rPr>
        <w:t>Принять к рассмотрению Межведомственной комиссии по согласованию  региональных программ повышения мобильности трудовых ресурсов субъектов Российской Федерации, включенных в перечень субъектов Российской Федерации, привлечение трудовых ресурсов в которые является приоритетным</w:t>
      </w:r>
      <w:r w:rsidR="00CB51EB" w:rsidRPr="0092238A">
        <w:rPr>
          <w:sz w:val="28"/>
          <w:szCs w:val="28"/>
        </w:rPr>
        <w:t xml:space="preserve"> (далее – Межведомственная комиссия)</w:t>
      </w:r>
      <w:r w:rsidR="004B4F22" w:rsidRPr="0092238A">
        <w:rPr>
          <w:sz w:val="28"/>
          <w:szCs w:val="28"/>
        </w:rPr>
        <w:t xml:space="preserve">, </w:t>
      </w:r>
      <w:r w:rsidR="00CB51EB" w:rsidRPr="0092238A">
        <w:rPr>
          <w:sz w:val="28"/>
          <w:szCs w:val="28"/>
        </w:rPr>
        <w:t xml:space="preserve">проекты региональных программ Республики Бурятия, </w:t>
      </w:r>
      <w:r w:rsidR="009C4F0F" w:rsidRPr="0092238A">
        <w:rPr>
          <w:sz w:val="28"/>
          <w:szCs w:val="28"/>
        </w:rPr>
        <w:t xml:space="preserve">Республики Саха (Якутия), </w:t>
      </w:r>
      <w:r w:rsidR="00CB51EB" w:rsidRPr="0092238A">
        <w:rPr>
          <w:sz w:val="28"/>
          <w:szCs w:val="28"/>
        </w:rPr>
        <w:t>Забайкальского края, Камчатского края, Красноярского края, Приморского края, Хабаровского края, Амурской области, Архангельской области, Магаданской области, Сахалинской области, Тамбовской области</w:t>
      </w:r>
      <w:proofErr w:type="gramEnd"/>
      <w:r w:rsidR="00CB51EB" w:rsidRPr="0092238A">
        <w:rPr>
          <w:sz w:val="28"/>
          <w:szCs w:val="28"/>
        </w:rPr>
        <w:t xml:space="preserve">, </w:t>
      </w:r>
      <w:proofErr w:type="gramStart"/>
      <w:r w:rsidR="009C4F0F" w:rsidRPr="0092238A">
        <w:rPr>
          <w:sz w:val="28"/>
          <w:szCs w:val="28"/>
        </w:rPr>
        <w:t>Еврейской</w:t>
      </w:r>
      <w:proofErr w:type="gramEnd"/>
      <w:r w:rsidR="009C4F0F" w:rsidRPr="0092238A">
        <w:rPr>
          <w:sz w:val="28"/>
          <w:szCs w:val="28"/>
        </w:rPr>
        <w:t xml:space="preserve"> автономной области</w:t>
      </w:r>
      <w:r w:rsidR="009C4F0F">
        <w:rPr>
          <w:sz w:val="28"/>
          <w:szCs w:val="28"/>
        </w:rPr>
        <w:t>,</w:t>
      </w:r>
      <w:r w:rsidR="009C4F0F" w:rsidRPr="0092238A">
        <w:rPr>
          <w:sz w:val="28"/>
          <w:szCs w:val="28"/>
        </w:rPr>
        <w:t xml:space="preserve"> </w:t>
      </w:r>
      <w:r w:rsidR="00CB51EB" w:rsidRPr="0092238A">
        <w:rPr>
          <w:sz w:val="28"/>
          <w:szCs w:val="28"/>
        </w:rPr>
        <w:t>Чукотско</w:t>
      </w:r>
      <w:r w:rsidR="009C4F0F">
        <w:rPr>
          <w:sz w:val="28"/>
          <w:szCs w:val="28"/>
        </w:rPr>
        <w:t>го</w:t>
      </w:r>
      <w:r w:rsidR="00CB51EB" w:rsidRPr="0092238A">
        <w:rPr>
          <w:sz w:val="28"/>
          <w:szCs w:val="28"/>
        </w:rPr>
        <w:t xml:space="preserve"> автономно</w:t>
      </w:r>
      <w:r w:rsidR="009C4F0F">
        <w:rPr>
          <w:sz w:val="28"/>
          <w:szCs w:val="28"/>
        </w:rPr>
        <w:t>го</w:t>
      </w:r>
      <w:r w:rsidR="00CB51EB" w:rsidRPr="0092238A">
        <w:rPr>
          <w:sz w:val="28"/>
          <w:szCs w:val="28"/>
        </w:rPr>
        <w:t xml:space="preserve"> </w:t>
      </w:r>
      <w:r w:rsidR="009C4F0F">
        <w:rPr>
          <w:sz w:val="28"/>
          <w:szCs w:val="28"/>
        </w:rPr>
        <w:t>округа</w:t>
      </w:r>
      <w:r w:rsidR="0099386B" w:rsidRPr="0092238A">
        <w:rPr>
          <w:sz w:val="28"/>
          <w:szCs w:val="28"/>
        </w:rPr>
        <w:t>.</w:t>
      </w:r>
    </w:p>
    <w:p w:rsidR="009B5665" w:rsidRPr="0092238A" w:rsidRDefault="0099386B" w:rsidP="00543EC7">
      <w:pPr>
        <w:spacing w:line="264" w:lineRule="auto"/>
        <w:ind w:firstLine="709"/>
        <w:jc w:val="both"/>
        <w:rPr>
          <w:sz w:val="28"/>
          <w:szCs w:val="28"/>
        </w:rPr>
      </w:pPr>
      <w:r w:rsidRPr="0092238A">
        <w:rPr>
          <w:sz w:val="28"/>
          <w:szCs w:val="28"/>
        </w:rPr>
        <w:t>2. Отметить поступление от всех министерств и ведомств, представители которых входят в состав Межведомственной комиссии, согласовани</w:t>
      </w:r>
      <w:r w:rsidR="008760DA" w:rsidRPr="0092238A">
        <w:rPr>
          <w:sz w:val="28"/>
          <w:szCs w:val="28"/>
        </w:rPr>
        <w:t>й</w:t>
      </w:r>
      <w:r w:rsidRPr="0092238A">
        <w:rPr>
          <w:sz w:val="28"/>
          <w:szCs w:val="28"/>
        </w:rPr>
        <w:t xml:space="preserve"> </w:t>
      </w:r>
      <w:r w:rsidR="00CC6253" w:rsidRPr="0092238A">
        <w:rPr>
          <w:sz w:val="28"/>
          <w:szCs w:val="28"/>
        </w:rPr>
        <w:t xml:space="preserve">указанных в пункте 2 настоящего протокола </w:t>
      </w:r>
      <w:r w:rsidRPr="0092238A">
        <w:rPr>
          <w:sz w:val="28"/>
          <w:szCs w:val="28"/>
        </w:rPr>
        <w:t>проект</w:t>
      </w:r>
      <w:r w:rsidR="00CC6253" w:rsidRPr="0092238A">
        <w:rPr>
          <w:sz w:val="28"/>
          <w:szCs w:val="28"/>
        </w:rPr>
        <w:t>ов</w:t>
      </w:r>
      <w:r w:rsidRPr="0092238A">
        <w:rPr>
          <w:sz w:val="28"/>
          <w:szCs w:val="28"/>
        </w:rPr>
        <w:t xml:space="preserve"> региональн</w:t>
      </w:r>
      <w:r w:rsidR="00CC6253" w:rsidRPr="0092238A">
        <w:rPr>
          <w:sz w:val="28"/>
          <w:szCs w:val="28"/>
        </w:rPr>
        <w:t>ых</w:t>
      </w:r>
      <w:r w:rsidRPr="0092238A">
        <w:rPr>
          <w:sz w:val="28"/>
          <w:szCs w:val="28"/>
        </w:rPr>
        <w:t xml:space="preserve"> программ</w:t>
      </w:r>
      <w:r w:rsidR="009B5665" w:rsidRPr="0092238A">
        <w:rPr>
          <w:sz w:val="28"/>
          <w:szCs w:val="28"/>
        </w:rPr>
        <w:t>:</w:t>
      </w:r>
    </w:p>
    <w:p w:rsidR="00CC6253" w:rsidRPr="0092238A" w:rsidRDefault="00CC6253" w:rsidP="00543EC7">
      <w:pPr>
        <w:spacing w:line="264" w:lineRule="auto"/>
        <w:ind w:firstLine="709"/>
        <w:jc w:val="both"/>
        <w:rPr>
          <w:sz w:val="28"/>
          <w:szCs w:val="28"/>
        </w:rPr>
      </w:pPr>
      <w:r w:rsidRPr="0092238A">
        <w:rPr>
          <w:sz w:val="28"/>
          <w:szCs w:val="28"/>
        </w:rPr>
        <w:t>Минтруд России – подписанный лист согласования;</w:t>
      </w:r>
    </w:p>
    <w:p w:rsidR="00CC6253" w:rsidRPr="0092238A" w:rsidRDefault="00CC6253" w:rsidP="00CC6253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92238A">
        <w:rPr>
          <w:sz w:val="28"/>
          <w:szCs w:val="28"/>
        </w:rPr>
        <w:t>Минпросвещения</w:t>
      </w:r>
      <w:proofErr w:type="spellEnd"/>
      <w:r w:rsidRPr="0092238A">
        <w:rPr>
          <w:sz w:val="28"/>
          <w:szCs w:val="28"/>
        </w:rPr>
        <w:t xml:space="preserve"> России – письмо от </w:t>
      </w:r>
      <w:r w:rsidR="00A134F5" w:rsidRPr="0092238A">
        <w:rPr>
          <w:sz w:val="28"/>
          <w:szCs w:val="28"/>
        </w:rPr>
        <w:t>15</w:t>
      </w:r>
      <w:r w:rsidRPr="0092238A">
        <w:rPr>
          <w:sz w:val="28"/>
          <w:szCs w:val="28"/>
        </w:rPr>
        <w:t xml:space="preserve"> </w:t>
      </w:r>
      <w:r w:rsidR="00A134F5" w:rsidRPr="0092238A">
        <w:rPr>
          <w:sz w:val="28"/>
          <w:szCs w:val="28"/>
        </w:rPr>
        <w:t>апреля</w:t>
      </w:r>
      <w:r w:rsidRPr="0092238A">
        <w:rPr>
          <w:sz w:val="28"/>
          <w:szCs w:val="28"/>
        </w:rPr>
        <w:t xml:space="preserve"> 20</w:t>
      </w:r>
      <w:r w:rsidR="00A134F5" w:rsidRPr="0092238A">
        <w:rPr>
          <w:sz w:val="28"/>
          <w:szCs w:val="28"/>
        </w:rPr>
        <w:t>20</w:t>
      </w:r>
      <w:r w:rsidRPr="0092238A">
        <w:rPr>
          <w:sz w:val="28"/>
          <w:szCs w:val="28"/>
        </w:rPr>
        <w:t xml:space="preserve"> года № </w:t>
      </w:r>
      <w:r w:rsidR="00A134F5" w:rsidRPr="0092238A">
        <w:rPr>
          <w:sz w:val="28"/>
          <w:szCs w:val="28"/>
        </w:rPr>
        <w:t>ГД-210</w:t>
      </w:r>
      <w:r w:rsidRPr="0092238A">
        <w:rPr>
          <w:sz w:val="28"/>
          <w:szCs w:val="28"/>
        </w:rPr>
        <w:t>/05;</w:t>
      </w:r>
    </w:p>
    <w:p w:rsidR="00CC6253" w:rsidRPr="00A81C91" w:rsidRDefault="00A134F5" w:rsidP="00543EC7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A81C91">
        <w:rPr>
          <w:sz w:val="28"/>
          <w:szCs w:val="28"/>
        </w:rPr>
        <w:t>Минпромторг</w:t>
      </w:r>
      <w:proofErr w:type="spellEnd"/>
      <w:r w:rsidRPr="00A81C91">
        <w:rPr>
          <w:sz w:val="28"/>
          <w:szCs w:val="28"/>
        </w:rPr>
        <w:t xml:space="preserve"> России </w:t>
      </w:r>
      <w:r w:rsidR="00A81C91" w:rsidRPr="00A81C91">
        <w:rPr>
          <w:sz w:val="28"/>
          <w:szCs w:val="28"/>
        </w:rPr>
        <w:t>–</w:t>
      </w:r>
      <w:r w:rsidRPr="00A81C91">
        <w:rPr>
          <w:sz w:val="28"/>
          <w:szCs w:val="28"/>
        </w:rPr>
        <w:t xml:space="preserve"> </w:t>
      </w:r>
      <w:r w:rsidR="00A81C91" w:rsidRPr="00A81C91">
        <w:rPr>
          <w:sz w:val="28"/>
          <w:szCs w:val="28"/>
        </w:rPr>
        <w:t>письмо от 24 апреля 2020 года № БА-29207/12;</w:t>
      </w:r>
    </w:p>
    <w:p w:rsidR="00CC6253" w:rsidRPr="00A81C91" w:rsidRDefault="005B73EB" w:rsidP="00543EC7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A81C91">
        <w:rPr>
          <w:sz w:val="28"/>
          <w:szCs w:val="28"/>
        </w:rPr>
        <w:t>Минвостокразвития</w:t>
      </w:r>
      <w:proofErr w:type="spellEnd"/>
      <w:r w:rsidRPr="00A81C91">
        <w:rPr>
          <w:sz w:val="28"/>
          <w:szCs w:val="28"/>
        </w:rPr>
        <w:t xml:space="preserve"> России – письмо от 2 апреля 2020 года № 03-14/3601;</w:t>
      </w:r>
    </w:p>
    <w:p w:rsidR="00B24533" w:rsidRPr="00A81C91" w:rsidRDefault="005B73EB" w:rsidP="00543EC7">
      <w:pPr>
        <w:spacing w:line="264" w:lineRule="auto"/>
        <w:ind w:firstLine="709"/>
        <w:jc w:val="both"/>
        <w:rPr>
          <w:sz w:val="28"/>
          <w:szCs w:val="28"/>
        </w:rPr>
      </w:pPr>
      <w:r w:rsidRPr="00A81C91">
        <w:rPr>
          <w:sz w:val="28"/>
          <w:szCs w:val="28"/>
        </w:rPr>
        <w:t xml:space="preserve">Минфин России – письмо от 21 апреля 2020 года № 13-03-07/2/31807; </w:t>
      </w:r>
    </w:p>
    <w:p w:rsidR="00CC6253" w:rsidRPr="0092238A" w:rsidRDefault="00E05F01" w:rsidP="00543EC7">
      <w:pPr>
        <w:spacing w:line="264" w:lineRule="auto"/>
        <w:ind w:firstLine="709"/>
        <w:jc w:val="both"/>
        <w:rPr>
          <w:sz w:val="28"/>
          <w:szCs w:val="28"/>
        </w:rPr>
      </w:pPr>
      <w:r w:rsidRPr="00A81C91">
        <w:rPr>
          <w:sz w:val="28"/>
          <w:szCs w:val="28"/>
        </w:rPr>
        <w:t xml:space="preserve">Минэкономразвития России – письмо от </w:t>
      </w:r>
      <w:r w:rsidR="00B24533" w:rsidRPr="00A81C91">
        <w:rPr>
          <w:sz w:val="28"/>
          <w:szCs w:val="28"/>
        </w:rPr>
        <w:t>10 апреля</w:t>
      </w:r>
      <w:r w:rsidRPr="00A81C91">
        <w:rPr>
          <w:sz w:val="28"/>
          <w:szCs w:val="28"/>
        </w:rPr>
        <w:t xml:space="preserve"> 20</w:t>
      </w:r>
      <w:r w:rsidR="00B24533" w:rsidRPr="00A81C91">
        <w:rPr>
          <w:sz w:val="28"/>
          <w:szCs w:val="28"/>
        </w:rPr>
        <w:t>20</w:t>
      </w:r>
      <w:r w:rsidRPr="00A81C91">
        <w:rPr>
          <w:sz w:val="28"/>
          <w:szCs w:val="28"/>
        </w:rPr>
        <w:t xml:space="preserve"> года</w:t>
      </w:r>
      <w:r w:rsidRPr="0092238A">
        <w:rPr>
          <w:sz w:val="28"/>
          <w:szCs w:val="28"/>
        </w:rPr>
        <w:t xml:space="preserve"> </w:t>
      </w:r>
      <w:r w:rsidR="00B24533" w:rsidRPr="0092238A">
        <w:rPr>
          <w:sz w:val="28"/>
          <w:szCs w:val="28"/>
        </w:rPr>
        <w:br/>
      </w:r>
      <w:r w:rsidRPr="0092238A">
        <w:rPr>
          <w:sz w:val="28"/>
          <w:szCs w:val="28"/>
        </w:rPr>
        <w:t>№</w:t>
      </w:r>
      <w:r w:rsidR="00B24533" w:rsidRPr="0092238A">
        <w:rPr>
          <w:sz w:val="28"/>
          <w:szCs w:val="28"/>
        </w:rPr>
        <w:t> </w:t>
      </w:r>
      <w:r w:rsidRPr="0092238A">
        <w:rPr>
          <w:sz w:val="28"/>
          <w:szCs w:val="28"/>
        </w:rPr>
        <w:t>Д04и-</w:t>
      </w:r>
      <w:r w:rsidR="00B24533" w:rsidRPr="0092238A">
        <w:rPr>
          <w:sz w:val="28"/>
          <w:szCs w:val="28"/>
        </w:rPr>
        <w:t>11019</w:t>
      </w:r>
      <w:r w:rsidRPr="0092238A">
        <w:rPr>
          <w:sz w:val="28"/>
          <w:szCs w:val="28"/>
        </w:rPr>
        <w:t>;</w:t>
      </w:r>
    </w:p>
    <w:p w:rsidR="00B24533" w:rsidRPr="0092238A" w:rsidRDefault="00B24533" w:rsidP="00B24533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92238A">
        <w:rPr>
          <w:sz w:val="28"/>
          <w:szCs w:val="28"/>
        </w:rPr>
        <w:t>Роструд</w:t>
      </w:r>
      <w:proofErr w:type="spellEnd"/>
      <w:r w:rsidRPr="0092238A">
        <w:rPr>
          <w:sz w:val="28"/>
          <w:szCs w:val="28"/>
        </w:rPr>
        <w:t xml:space="preserve"> – письмо от 1 апреля 2020 года № </w:t>
      </w:r>
      <w:r w:rsidR="008E1BF0" w:rsidRPr="0092238A">
        <w:rPr>
          <w:sz w:val="28"/>
          <w:szCs w:val="28"/>
        </w:rPr>
        <w:t>1005</w:t>
      </w:r>
      <w:r w:rsidRPr="0092238A">
        <w:rPr>
          <w:sz w:val="28"/>
          <w:szCs w:val="28"/>
        </w:rPr>
        <w:t>-ТЗ;</w:t>
      </w:r>
    </w:p>
    <w:p w:rsidR="0099386B" w:rsidRPr="0092238A" w:rsidRDefault="008E1BF0" w:rsidP="00543EC7">
      <w:pPr>
        <w:spacing w:line="264" w:lineRule="auto"/>
        <w:ind w:firstLine="709"/>
        <w:jc w:val="both"/>
        <w:rPr>
          <w:sz w:val="28"/>
          <w:szCs w:val="28"/>
        </w:rPr>
      </w:pPr>
      <w:r w:rsidRPr="0092238A">
        <w:rPr>
          <w:sz w:val="28"/>
          <w:szCs w:val="28"/>
        </w:rPr>
        <w:t xml:space="preserve">Минсельхоз России </w:t>
      </w:r>
      <w:r w:rsidR="00680522">
        <w:rPr>
          <w:sz w:val="28"/>
          <w:szCs w:val="28"/>
        </w:rPr>
        <w:t xml:space="preserve">- </w:t>
      </w:r>
      <w:r w:rsidRPr="0092238A">
        <w:rPr>
          <w:sz w:val="28"/>
          <w:szCs w:val="28"/>
        </w:rPr>
        <w:t>письмо от 15 апреля 2020 года № ОЛ-10-23/5583.</w:t>
      </w:r>
    </w:p>
    <w:p w:rsidR="00543EC7" w:rsidRPr="0092238A" w:rsidRDefault="00543EC7" w:rsidP="00543EC7">
      <w:pPr>
        <w:spacing w:line="264" w:lineRule="auto"/>
        <w:ind w:firstLine="709"/>
        <w:jc w:val="both"/>
        <w:rPr>
          <w:sz w:val="28"/>
          <w:szCs w:val="28"/>
        </w:rPr>
      </w:pPr>
    </w:p>
    <w:p w:rsidR="007229B3" w:rsidRPr="0092238A" w:rsidRDefault="007229B3" w:rsidP="00543EC7">
      <w:pPr>
        <w:spacing w:line="264" w:lineRule="auto"/>
        <w:ind w:firstLine="709"/>
        <w:jc w:val="both"/>
        <w:rPr>
          <w:sz w:val="28"/>
          <w:szCs w:val="28"/>
        </w:rPr>
      </w:pPr>
      <w:r w:rsidRPr="0092238A">
        <w:rPr>
          <w:sz w:val="28"/>
          <w:szCs w:val="28"/>
        </w:rPr>
        <w:lastRenderedPageBreak/>
        <w:t xml:space="preserve">3. </w:t>
      </w:r>
      <w:proofErr w:type="gramStart"/>
      <w:r w:rsidRPr="0092238A">
        <w:rPr>
          <w:sz w:val="28"/>
          <w:szCs w:val="28"/>
        </w:rPr>
        <w:t xml:space="preserve">На основании пункта 8 </w:t>
      </w:r>
      <w:hyperlink r:id="rId7" w:history="1">
        <w:r w:rsidRPr="0092238A">
          <w:rPr>
            <w:rStyle w:val="af"/>
            <w:color w:val="auto"/>
            <w:sz w:val="28"/>
            <w:szCs w:val="28"/>
            <w:u w:val="none"/>
          </w:rPr>
          <w:t>Правил</w:t>
        </w:r>
      </w:hyperlink>
      <w:r w:rsidRPr="0092238A">
        <w:rPr>
          <w:sz w:val="28"/>
          <w:szCs w:val="28"/>
        </w:rPr>
        <w:t xml:space="preserve"> согласования Межведомственной комиссией по согласованию региональных программ повышения мобильности трудовых ресурсов субъектов Российской Федерации, включенных в перечень субъектов Российской Федерации, привлечение трудовых ресурсов в которые является приоритетным, проектов региональных программ повышения мобильности трудовых ресурсов субъектов Российской Федерации, включенных в указанный перечень, утвержденных постановлением Правительства Российской Федерации от 18 августа 2015 года № 853, принять следующие решения:</w:t>
      </w:r>
      <w:proofErr w:type="gramEnd"/>
    </w:p>
    <w:p w:rsidR="007229B3" w:rsidRPr="0092238A" w:rsidRDefault="009B5665" w:rsidP="00543EC7">
      <w:pPr>
        <w:spacing w:line="264" w:lineRule="auto"/>
        <w:ind w:firstLine="709"/>
        <w:jc w:val="both"/>
        <w:rPr>
          <w:sz w:val="28"/>
          <w:szCs w:val="28"/>
        </w:rPr>
      </w:pPr>
      <w:r w:rsidRPr="0092238A">
        <w:rPr>
          <w:sz w:val="28"/>
          <w:szCs w:val="28"/>
        </w:rPr>
        <w:t xml:space="preserve">заседание Межведомственной комиссии </w:t>
      </w:r>
      <w:r w:rsidR="00BA0AFD" w:rsidRPr="0092238A">
        <w:rPr>
          <w:sz w:val="28"/>
          <w:szCs w:val="28"/>
        </w:rPr>
        <w:t xml:space="preserve">провести </w:t>
      </w:r>
      <w:r w:rsidRPr="0092238A">
        <w:rPr>
          <w:sz w:val="28"/>
          <w:szCs w:val="28"/>
        </w:rPr>
        <w:t>заочно;</w:t>
      </w:r>
    </w:p>
    <w:p w:rsidR="009B5665" w:rsidRPr="0092238A" w:rsidRDefault="009B5665" w:rsidP="00543EC7">
      <w:pPr>
        <w:spacing w:line="264" w:lineRule="auto"/>
        <w:ind w:firstLine="709"/>
        <w:jc w:val="both"/>
        <w:rPr>
          <w:sz w:val="28"/>
          <w:szCs w:val="28"/>
        </w:rPr>
      </w:pPr>
      <w:r w:rsidRPr="0092238A">
        <w:rPr>
          <w:sz w:val="28"/>
          <w:szCs w:val="28"/>
        </w:rPr>
        <w:t>согласовать проект</w:t>
      </w:r>
      <w:r w:rsidR="008E1BF0" w:rsidRPr="0092238A">
        <w:rPr>
          <w:sz w:val="28"/>
          <w:szCs w:val="28"/>
        </w:rPr>
        <w:t>ы</w:t>
      </w:r>
      <w:r w:rsidRPr="0092238A">
        <w:rPr>
          <w:sz w:val="28"/>
          <w:szCs w:val="28"/>
        </w:rPr>
        <w:t xml:space="preserve"> </w:t>
      </w:r>
      <w:r w:rsidR="0022364A">
        <w:rPr>
          <w:sz w:val="28"/>
          <w:szCs w:val="28"/>
        </w:rPr>
        <w:t xml:space="preserve">региональных </w:t>
      </w:r>
      <w:r w:rsidRPr="0092238A">
        <w:rPr>
          <w:sz w:val="28"/>
          <w:szCs w:val="28"/>
        </w:rPr>
        <w:t xml:space="preserve">программ </w:t>
      </w:r>
      <w:r w:rsidR="008E1BF0" w:rsidRPr="0092238A">
        <w:rPr>
          <w:sz w:val="28"/>
          <w:szCs w:val="28"/>
        </w:rPr>
        <w:t xml:space="preserve">Республики Бурятия, </w:t>
      </w:r>
      <w:r w:rsidR="009C4F0F" w:rsidRPr="0092238A">
        <w:rPr>
          <w:sz w:val="28"/>
          <w:szCs w:val="28"/>
        </w:rPr>
        <w:t xml:space="preserve">Республики Саха (Якутия), </w:t>
      </w:r>
      <w:r w:rsidR="008E1BF0" w:rsidRPr="0092238A">
        <w:rPr>
          <w:sz w:val="28"/>
          <w:szCs w:val="28"/>
        </w:rPr>
        <w:t>Забайкальского края, Камчатского края, Красноярского края, Приморского края, Хабаровского края, Амурской области, Архангельской области, Магаданской области, Сахалинской области, Тамбовской области, Еврейской автономной области</w:t>
      </w:r>
      <w:r w:rsidR="009C4F0F">
        <w:rPr>
          <w:sz w:val="28"/>
          <w:szCs w:val="28"/>
        </w:rPr>
        <w:t>,</w:t>
      </w:r>
      <w:r w:rsidR="009C4F0F" w:rsidRPr="009C4F0F">
        <w:rPr>
          <w:sz w:val="28"/>
          <w:szCs w:val="28"/>
        </w:rPr>
        <w:t xml:space="preserve"> </w:t>
      </w:r>
      <w:r w:rsidR="009C4F0F" w:rsidRPr="0092238A">
        <w:rPr>
          <w:sz w:val="28"/>
          <w:szCs w:val="28"/>
        </w:rPr>
        <w:t>Чукотско</w:t>
      </w:r>
      <w:r w:rsidR="009C4F0F">
        <w:rPr>
          <w:sz w:val="28"/>
          <w:szCs w:val="28"/>
        </w:rPr>
        <w:t>го</w:t>
      </w:r>
      <w:r w:rsidR="009C4F0F" w:rsidRPr="0092238A">
        <w:rPr>
          <w:sz w:val="28"/>
          <w:szCs w:val="28"/>
        </w:rPr>
        <w:t xml:space="preserve"> автономно</w:t>
      </w:r>
      <w:r w:rsidR="009C4F0F">
        <w:rPr>
          <w:sz w:val="28"/>
          <w:szCs w:val="28"/>
        </w:rPr>
        <w:t>го</w:t>
      </w:r>
      <w:r w:rsidR="009C4F0F" w:rsidRPr="0092238A">
        <w:rPr>
          <w:sz w:val="28"/>
          <w:szCs w:val="28"/>
        </w:rPr>
        <w:t xml:space="preserve"> о</w:t>
      </w:r>
      <w:r w:rsidR="009C4F0F">
        <w:rPr>
          <w:sz w:val="28"/>
          <w:szCs w:val="28"/>
        </w:rPr>
        <w:t>круга</w:t>
      </w:r>
      <w:r w:rsidR="008E1BF0" w:rsidRPr="0092238A">
        <w:rPr>
          <w:sz w:val="28"/>
          <w:szCs w:val="28"/>
        </w:rPr>
        <w:t>.</w:t>
      </w:r>
    </w:p>
    <w:p w:rsidR="007E0DC0" w:rsidRPr="0092238A" w:rsidRDefault="007E0DC0" w:rsidP="00285678">
      <w:pPr>
        <w:ind w:firstLine="709"/>
        <w:jc w:val="both"/>
        <w:rPr>
          <w:sz w:val="28"/>
          <w:szCs w:val="28"/>
        </w:rPr>
      </w:pPr>
    </w:p>
    <w:p w:rsidR="00543EC7" w:rsidRPr="0092238A" w:rsidRDefault="00543EC7" w:rsidP="00285678">
      <w:pPr>
        <w:ind w:firstLine="709"/>
        <w:jc w:val="both"/>
        <w:rPr>
          <w:sz w:val="28"/>
          <w:szCs w:val="28"/>
        </w:rPr>
      </w:pPr>
    </w:p>
    <w:p w:rsidR="001E4CB5" w:rsidRDefault="001E4CB5" w:rsidP="00285678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155"/>
        <w:gridCol w:w="3944"/>
        <w:gridCol w:w="2761"/>
      </w:tblGrid>
      <w:tr w:rsidR="0092238A" w:rsidTr="004B24ED">
        <w:trPr>
          <w:cantSplit/>
        </w:trPr>
        <w:tc>
          <w:tcPr>
            <w:tcW w:w="24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left w:w="0" w:type="dxa"/>
              <w:right w:w="0" w:type="dxa"/>
            </w:tcMar>
          </w:tcPr>
          <w:p w:rsidR="0092238A" w:rsidRDefault="0092238A" w:rsidP="004B24ED">
            <w:r>
              <w:rPr>
                <w:sz w:val="28"/>
                <w:szCs w:val="28"/>
              </w:rPr>
              <w:t>Заместитель Министра труда и социальной защиты Российской Федерации</w:t>
            </w:r>
          </w:p>
        </w:tc>
        <w:tc>
          <w:tcPr>
            <w:tcW w:w="30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2238A" w:rsidRDefault="0092238A" w:rsidP="004B24ED">
            <w:proofErr w:type="spellStart"/>
            <w:r>
              <w:rPr>
                <w:color w:val="FFFFFF"/>
                <w:sz w:val="28"/>
                <w:szCs w:val="28"/>
              </w:rPr>
              <w:t>sign_stamp</w:t>
            </w:r>
            <w:proofErr w:type="spellEnd"/>
          </w:p>
          <w:p w:rsidR="0092238A" w:rsidRDefault="0092238A" w:rsidP="004B24ED"/>
          <w:p w:rsidR="0092238A" w:rsidRDefault="0092238A" w:rsidP="004B24ED"/>
          <w:p w:rsidR="0092238A" w:rsidRDefault="0092238A" w:rsidP="004B24ED"/>
          <w:p w:rsidR="0092238A" w:rsidRDefault="0092238A" w:rsidP="004B24ED"/>
          <w:p w:rsidR="0092238A" w:rsidRDefault="0092238A" w:rsidP="004B24ED"/>
          <w:p w:rsidR="0092238A" w:rsidRDefault="0092238A" w:rsidP="004B24ED"/>
          <w:p w:rsidR="0092238A" w:rsidRDefault="0092238A" w:rsidP="004B24ED"/>
        </w:tc>
        <w:tc>
          <w:tcPr>
            <w:tcW w:w="2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2238A" w:rsidRDefault="0092238A" w:rsidP="004B24ED">
            <w:pPr>
              <w:jc w:val="right"/>
            </w:pPr>
            <w:r>
              <w:rPr>
                <w:sz w:val="28"/>
                <w:szCs w:val="28"/>
              </w:rPr>
              <w:t xml:space="preserve"> &lt;_ИМЯ_&gt;</w:t>
            </w:r>
          </w:p>
        </w:tc>
      </w:tr>
    </w:tbl>
    <w:p w:rsidR="00577A5D" w:rsidRPr="00962B51" w:rsidRDefault="00577A5D" w:rsidP="0092238A">
      <w:pPr>
        <w:jc w:val="both"/>
        <w:rPr>
          <w:sz w:val="28"/>
          <w:szCs w:val="28"/>
        </w:rPr>
      </w:pPr>
    </w:p>
    <w:sectPr w:rsidR="00577A5D" w:rsidRPr="00962B51" w:rsidSect="00B53C34">
      <w:headerReference w:type="default" r:id="rId8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02" w:rsidRDefault="00D91B02" w:rsidP="00C72553">
      <w:r>
        <w:separator/>
      </w:r>
    </w:p>
  </w:endnote>
  <w:endnote w:type="continuationSeparator" w:id="0">
    <w:p w:rsidR="00D91B02" w:rsidRDefault="00D91B02" w:rsidP="00C72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02" w:rsidRDefault="00D91B02" w:rsidP="00C72553">
      <w:r>
        <w:separator/>
      </w:r>
    </w:p>
  </w:footnote>
  <w:footnote w:type="continuationSeparator" w:id="0">
    <w:p w:rsidR="00D91B02" w:rsidRDefault="00D91B02" w:rsidP="00C72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24" w:rsidRDefault="00772748">
    <w:pPr>
      <w:pStyle w:val="a9"/>
      <w:jc w:val="center"/>
    </w:pPr>
    <w:fldSimple w:instr=" PAGE   \* MERGEFORMAT ">
      <w:r w:rsidR="00680522">
        <w:rPr>
          <w:noProof/>
        </w:rPr>
        <w:t>2</w:t>
      </w:r>
    </w:fldSimple>
  </w:p>
  <w:p w:rsidR="008F4924" w:rsidRDefault="008F492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F9D"/>
    <w:rsid w:val="00007D24"/>
    <w:rsid w:val="000264C1"/>
    <w:rsid w:val="00031825"/>
    <w:rsid w:val="00032802"/>
    <w:rsid w:val="0003640A"/>
    <w:rsid w:val="000852F6"/>
    <w:rsid w:val="000A282F"/>
    <w:rsid w:val="000A7E25"/>
    <w:rsid w:val="000B04F3"/>
    <w:rsid w:val="000B5C1D"/>
    <w:rsid w:val="000B6F44"/>
    <w:rsid w:val="000C314F"/>
    <w:rsid w:val="000C72F5"/>
    <w:rsid w:val="000C7879"/>
    <w:rsid w:val="000E4B7B"/>
    <w:rsid w:val="000F3F15"/>
    <w:rsid w:val="000F5B1D"/>
    <w:rsid w:val="000F7DB8"/>
    <w:rsid w:val="00125B73"/>
    <w:rsid w:val="00126230"/>
    <w:rsid w:val="00136320"/>
    <w:rsid w:val="001366E8"/>
    <w:rsid w:val="00143425"/>
    <w:rsid w:val="00156F85"/>
    <w:rsid w:val="00165317"/>
    <w:rsid w:val="001720A5"/>
    <w:rsid w:val="00172AA5"/>
    <w:rsid w:val="00172B38"/>
    <w:rsid w:val="00175DB8"/>
    <w:rsid w:val="00190897"/>
    <w:rsid w:val="00195881"/>
    <w:rsid w:val="001A3FEA"/>
    <w:rsid w:val="001A53C8"/>
    <w:rsid w:val="001B242E"/>
    <w:rsid w:val="001D7B66"/>
    <w:rsid w:val="001E2DA0"/>
    <w:rsid w:val="001E4CB5"/>
    <w:rsid w:val="001F263E"/>
    <w:rsid w:val="00202924"/>
    <w:rsid w:val="002040C4"/>
    <w:rsid w:val="0022364A"/>
    <w:rsid w:val="00232561"/>
    <w:rsid w:val="00236330"/>
    <w:rsid w:val="00236ED3"/>
    <w:rsid w:val="00244E58"/>
    <w:rsid w:val="00245CFB"/>
    <w:rsid w:val="00255D31"/>
    <w:rsid w:val="0026311A"/>
    <w:rsid w:val="00285678"/>
    <w:rsid w:val="002A03DC"/>
    <w:rsid w:val="002A07FC"/>
    <w:rsid w:val="002C0557"/>
    <w:rsid w:val="002C12CF"/>
    <w:rsid w:val="002D37C7"/>
    <w:rsid w:val="002D4709"/>
    <w:rsid w:val="002D4C40"/>
    <w:rsid w:val="002D588D"/>
    <w:rsid w:val="002D750B"/>
    <w:rsid w:val="002E6118"/>
    <w:rsid w:val="003129E3"/>
    <w:rsid w:val="00327F22"/>
    <w:rsid w:val="00333396"/>
    <w:rsid w:val="00333D47"/>
    <w:rsid w:val="00334AB9"/>
    <w:rsid w:val="00340396"/>
    <w:rsid w:val="0036191E"/>
    <w:rsid w:val="00361F51"/>
    <w:rsid w:val="0036344B"/>
    <w:rsid w:val="00372C08"/>
    <w:rsid w:val="00381096"/>
    <w:rsid w:val="00390D98"/>
    <w:rsid w:val="00397593"/>
    <w:rsid w:val="003A3DB0"/>
    <w:rsid w:val="003A44E9"/>
    <w:rsid w:val="003B5BEE"/>
    <w:rsid w:val="003C27F6"/>
    <w:rsid w:val="003C4C74"/>
    <w:rsid w:val="003D1CF4"/>
    <w:rsid w:val="003E62B0"/>
    <w:rsid w:val="003E7702"/>
    <w:rsid w:val="004079AB"/>
    <w:rsid w:val="00415C22"/>
    <w:rsid w:val="004169A8"/>
    <w:rsid w:val="004335F3"/>
    <w:rsid w:val="004426B4"/>
    <w:rsid w:val="00485FDE"/>
    <w:rsid w:val="00491353"/>
    <w:rsid w:val="00494981"/>
    <w:rsid w:val="004A04DA"/>
    <w:rsid w:val="004A0775"/>
    <w:rsid w:val="004A332F"/>
    <w:rsid w:val="004B4F22"/>
    <w:rsid w:val="004C54C3"/>
    <w:rsid w:val="004D0189"/>
    <w:rsid w:val="004D02E9"/>
    <w:rsid w:val="004E5449"/>
    <w:rsid w:val="004F0629"/>
    <w:rsid w:val="004F25BE"/>
    <w:rsid w:val="00505858"/>
    <w:rsid w:val="00507700"/>
    <w:rsid w:val="00507DE0"/>
    <w:rsid w:val="00512333"/>
    <w:rsid w:val="005153A1"/>
    <w:rsid w:val="005225D1"/>
    <w:rsid w:val="005239F0"/>
    <w:rsid w:val="00523A86"/>
    <w:rsid w:val="00523F7C"/>
    <w:rsid w:val="00526CA5"/>
    <w:rsid w:val="00543EC7"/>
    <w:rsid w:val="00547A19"/>
    <w:rsid w:val="0055100C"/>
    <w:rsid w:val="00560397"/>
    <w:rsid w:val="00571728"/>
    <w:rsid w:val="00575259"/>
    <w:rsid w:val="00577A5D"/>
    <w:rsid w:val="00577C06"/>
    <w:rsid w:val="00582BDA"/>
    <w:rsid w:val="0059130D"/>
    <w:rsid w:val="00591B57"/>
    <w:rsid w:val="00594E39"/>
    <w:rsid w:val="005A0A51"/>
    <w:rsid w:val="005B73EB"/>
    <w:rsid w:val="005C5DC2"/>
    <w:rsid w:val="005C788B"/>
    <w:rsid w:val="005D6126"/>
    <w:rsid w:val="0060236F"/>
    <w:rsid w:val="00603185"/>
    <w:rsid w:val="006144CF"/>
    <w:rsid w:val="00627C66"/>
    <w:rsid w:val="006337FB"/>
    <w:rsid w:val="006410F5"/>
    <w:rsid w:val="006419F0"/>
    <w:rsid w:val="0064264C"/>
    <w:rsid w:val="0066243E"/>
    <w:rsid w:val="0066246D"/>
    <w:rsid w:val="006663F6"/>
    <w:rsid w:val="00670A27"/>
    <w:rsid w:val="00680522"/>
    <w:rsid w:val="00680991"/>
    <w:rsid w:val="006815CD"/>
    <w:rsid w:val="0069048D"/>
    <w:rsid w:val="006928EA"/>
    <w:rsid w:val="006B0155"/>
    <w:rsid w:val="006B0399"/>
    <w:rsid w:val="006B13AD"/>
    <w:rsid w:val="006C3B37"/>
    <w:rsid w:val="006C3F9D"/>
    <w:rsid w:val="006D2EA0"/>
    <w:rsid w:val="006F2CC9"/>
    <w:rsid w:val="006F3A16"/>
    <w:rsid w:val="007033CF"/>
    <w:rsid w:val="007115E9"/>
    <w:rsid w:val="0071229B"/>
    <w:rsid w:val="00712F2B"/>
    <w:rsid w:val="00715737"/>
    <w:rsid w:val="007229B3"/>
    <w:rsid w:val="00725F4B"/>
    <w:rsid w:val="00737F6E"/>
    <w:rsid w:val="007506FF"/>
    <w:rsid w:val="007548FC"/>
    <w:rsid w:val="00772748"/>
    <w:rsid w:val="00776072"/>
    <w:rsid w:val="007825CE"/>
    <w:rsid w:val="00786451"/>
    <w:rsid w:val="00795742"/>
    <w:rsid w:val="007C0294"/>
    <w:rsid w:val="007C183C"/>
    <w:rsid w:val="007D0F5D"/>
    <w:rsid w:val="007E0DC0"/>
    <w:rsid w:val="007E45E6"/>
    <w:rsid w:val="0080453E"/>
    <w:rsid w:val="00826F79"/>
    <w:rsid w:val="00835C3A"/>
    <w:rsid w:val="00840F38"/>
    <w:rsid w:val="008415CD"/>
    <w:rsid w:val="00850825"/>
    <w:rsid w:val="0085195E"/>
    <w:rsid w:val="0087260C"/>
    <w:rsid w:val="00872FE5"/>
    <w:rsid w:val="008760DA"/>
    <w:rsid w:val="00882C09"/>
    <w:rsid w:val="008969A5"/>
    <w:rsid w:val="008B0206"/>
    <w:rsid w:val="008B503B"/>
    <w:rsid w:val="008C1A7F"/>
    <w:rsid w:val="008C7A28"/>
    <w:rsid w:val="008D4493"/>
    <w:rsid w:val="008D5043"/>
    <w:rsid w:val="008D53EF"/>
    <w:rsid w:val="008E1BF0"/>
    <w:rsid w:val="008F1415"/>
    <w:rsid w:val="008F4924"/>
    <w:rsid w:val="009157F4"/>
    <w:rsid w:val="0092238A"/>
    <w:rsid w:val="00947FA1"/>
    <w:rsid w:val="00956B56"/>
    <w:rsid w:val="009611B7"/>
    <w:rsid w:val="00962B51"/>
    <w:rsid w:val="00975E91"/>
    <w:rsid w:val="00980DC5"/>
    <w:rsid w:val="009819E2"/>
    <w:rsid w:val="0099386B"/>
    <w:rsid w:val="0099567E"/>
    <w:rsid w:val="009A4242"/>
    <w:rsid w:val="009B2F96"/>
    <w:rsid w:val="009B5665"/>
    <w:rsid w:val="009C4F0F"/>
    <w:rsid w:val="009D6107"/>
    <w:rsid w:val="009F4706"/>
    <w:rsid w:val="00A1054E"/>
    <w:rsid w:val="00A134F5"/>
    <w:rsid w:val="00A13AF6"/>
    <w:rsid w:val="00A2147E"/>
    <w:rsid w:val="00A3105B"/>
    <w:rsid w:val="00A32D7F"/>
    <w:rsid w:val="00A34567"/>
    <w:rsid w:val="00A422D7"/>
    <w:rsid w:val="00A44952"/>
    <w:rsid w:val="00A45105"/>
    <w:rsid w:val="00A50C26"/>
    <w:rsid w:val="00A53836"/>
    <w:rsid w:val="00A81C91"/>
    <w:rsid w:val="00A86958"/>
    <w:rsid w:val="00A93A62"/>
    <w:rsid w:val="00A9501D"/>
    <w:rsid w:val="00AA58CA"/>
    <w:rsid w:val="00AB3CC6"/>
    <w:rsid w:val="00AB7418"/>
    <w:rsid w:val="00AC52D5"/>
    <w:rsid w:val="00AC5AF1"/>
    <w:rsid w:val="00AF5F62"/>
    <w:rsid w:val="00B01042"/>
    <w:rsid w:val="00B051A7"/>
    <w:rsid w:val="00B136BC"/>
    <w:rsid w:val="00B17398"/>
    <w:rsid w:val="00B211A5"/>
    <w:rsid w:val="00B24533"/>
    <w:rsid w:val="00B268AB"/>
    <w:rsid w:val="00B3402C"/>
    <w:rsid w:val="00B41485"/>
    <w:rsid w:val="00B53C34"/>
    <w:rsid w:val="00B545A0"/>
    <w:rsid w:val="00B554EE"/>
    <w:rsid w:val="00B57A20"/>
    <w:rsid w:val="00B622D5"/>
    <w:rsid w:val="00B777B1"/>
    <w:rsid w:val="00BA0215"/>
    <w:rsid w:val="00BA0AFD"/>
    <w:rsid w:val="00BB51A7"/>
    <w:rsid w:val="00BB60BA"/>
    <w:rsid w:val="00BC074C"/>
    <w:rsid w:val="00BC0C22"/>
    <w:rsid w:val="00BC3C33"/>
    <w:rsid w:val="00BE315A"/>
    <w:rsid w:val="00C0015E"/>
    <w:rsid w:val="00C14FFC"/>
    <w:rsid w:val="00C2114B"/>
    <w:rsid w:val="00C260C2"/>
    <w:rsid w:val="00C3063D"/>
    <w:rsid w:val="00C3711B"/>
    <w:rsid w:val="00C431F9"/>
    <w:rsid w:val="00C52E47"/>
    <w:rsid w:val="00C556E3"/>
    <w:rsid w:val="00C55865"/>
    <w:rsid w:val="00C6346A"/>
    <w:rsid w:val="00C6612E"/>
    <w:rsid w:val="00C72553"/>
    <w:rsid w:val="00C9372B"/>
    <w:rsid w:val="00C97C0C"/>
    <w:rsid w:val="00CA0EE7"/>
    <w:rsid w:val="00CB51EB"/>
    <w:rsid w:val="00CB7E0B"/>
    <w:rsid w:val="00CC5A72"/>
    <w:rsid w:val="00CC6253"/>
    <w:rsid w:val="00CC7F06"/>
    <w:rsid w:val="00CD0CC6"/>
    <w:rsid w:val="00CD3D67"/>
    <w:rsid w:val="00CE2DD6"/>
    <w:rsid w:val="00CF266E"/>
    <w:rsid w:val="00D262FD"/>
    <w:rsid w:val="00D26307"/>
    <w:rsid w:val="00D30C7E"/>
    <w:rsid w:val="00D3175A"/>
    <w:rsid w:val="00D42FC7"/>
    <w:rsid w:val="00D45997"/>
    <w:rsid w:val="00D6137F"/>
    <w:rsid w:val="00D7629E"/>
    <w:rsid w:val="00D7692D"/>
    <w:rsid w:val="00D772DD"/>
    <w:rsid w:val="00D858F3"/>
    <w:rsid w:val="00D86F2A"/>
    <w:rsid w:val="00D91B02"/>
    <w:rsid w:val="00DA68E1"/>
    <w:rsid w:val="00DA6E01"/>
    <w:rsid w:val="00DB166F"/>
    <w:rsid w:val="00DC0945"/>
    <w:rsid w:val="00DD4687"/>
    <w:rsid w:val="00DD7644"/>
    <w:rsid w:val="00DF03BC"/>
    <w:rsid w:val="00DF3127"/>
    <w:rsid w:val="00DF67A8"/>
    <w:rsid w:val="00E05F01"/>
    <w:rsid w:val="00E104BB"/>
    <w:rsid w:val="00E159E3"/>
    <w:rsid w:val="00E15B14"/>
    <w:rsid w:val="00E44BBB"/>
    <w:rsid w:val="00E569C3"/>
    <w:rsid w:val="00E572C7"/>
    <w:rsid w:val="00E64E53"/>
    <w:rsid w:val="00E7254C"/>
    <w:rsid w:val="00E83D80"/>
    <w:rsid w:val="00EA2A30"/>
    <w:rsid w:val="00EA6107"/>
    <w:rsid w:val="00EC2AE6"/>
    <w:rsid w:val="00EC672C"/>
    <w:rsid w:val="00ED31B9"/>
    <w:rsid w:val="00ED4CC2"/>
    <w:rsid w:val="00EF2FE9"/>
    <w:rsid w:val="00F2113B"/>
    <w:rsid w:val="00F443C5"/>
    <w:rsid w:val="00F447C3"/>
    <w:rsid w:val="00F54C44"/>
    <w:rsid w:val="00F64BD2"/>
    <w:rsid w:val="00F6594E"/>
    <w:rsid w:val="00F75478"/>
    <w:rsid w:val="00F83A5B"/>
    <w:rsid w:val="00F863B8"/>
    <w:rsid w:val="00F86490"/>
    <w:rsid w:val="00F9116B"/>
    <w:rsid w:val="00FA4410"/>
    <w:rsid w:val="00FB3B77"/>
    <w:rsid w:val="00FD40E7"/>
    <w:rsid w:val="00FD4582"/>
    <w:rsid w:val="00FD55AC"/>
    <w:rsid w:val="00FD6563"/>
    <w:rsid w:val="00FF500B"/>
    <w:rsid w:val="00F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E77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3F9D"/>
    <w:pPr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3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C3F9D"/>
    <w:pPr>
      <w:ind w:firstLine="709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6C3F9D"/>
    <w:rPr>
      <w:rFonts w:ascii="Times New Roman" w:eastAsia="Times New Roman" w:hAnsi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6C3F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3F9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5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2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725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25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B57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7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08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089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722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DECA983BBA7D6451F9D35FEBF6C6CAD2EDDBA9ED7803B607E93567B49A56869F04A47AD0F7B4AE0CD84F522E60100899FBD95FB4C4E572l0s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B4C6-F53F-40DF-8965-B3EA383F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3463</CharactersWithSpaces>
  <SharedDoc>false</SharedDoc>
  <HLinks>
    <vt:vector size="6" baseType="variant"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consultantplus://offline/ref=5BDECA983BBA7D6451F9D35FEBF6C6CAD2EDDBA9ED7803B607E93567B49A56869F04A47AD0F7B4AE0CD84F522E60100899FBD95FB4C4E572l0sCJ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Людмила Леонидовна</dc:creator>
  <cp:lastModifiedBy>BikovaEI</cp:lastModifiedBy>
  <cp:revision>8</cp:revision>
  <cp:lastPrinted>2019-11-29T10:38:00Z</cp:lastPrinted>
  <dcterms:created xsi:type="dcterms:W3CDTF">2020-04-21T13:05:00Z</dcterms:created>
  <dcterms:modified xsi:type="dcterms:W3CDTF">2020-04-27T08:55:00Z</dcterms:modified>
</cp:coreProperties>
</file>